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813F6">
      <w:pPr>
        <w:pStyle w:val="2"/>
        <w:spacing w:before="180" w:line="219" w:lineRule="auto"/>
        <w:ind w:left="3351"/>
        <w:outlineLvl w:val="0"/>
        <w:rPr>
          <w:sz w:val="28"/>
          <w:szCs w:val="28"/>
        </w:rPr>
      </w:pPr>
      <w:r>
        <w:rPr>
          <w:b/>
          <w:bCs/>
          <w:spacing w:val="-14"/>
          <w:sz w:val="28"/>
          <w:szCs w:val="28"/>
        </w:rPr>
        <w:t>管理体系认证合同书</w:t>
      </w:r>
    </w:p>
    <w:p w14:paraId="38AF24BD">
      <w:pPr>
        <w:pStyle w:val="2"/>
        <w:spacing w:before="170" w:line="228" w:lineRule="auto"/>
        <w:ind w:firstLine="6300" w:firstLineChars="3000"/>
        <w:rPr>
          <w:rFonts w:hint="default" w:eastAsia="宋体"/>
          <w:lang w:val="en-US" w:eastAsia="zh-CN"/>
        </w:rPr>
      </w:pPr>
      <w:r>
        <w:rPr>
          <w:spacing w:val="5"/>
        </w:rPr>
        <w:t>合同编号：</w:t>
      </w:r>
      <w:r>
        <w:rPr>
          <w:rFonts w:hint="eastAsia"/>
          <w:lang w:val="en-US" w:eastAsia="zh-CN"/>
        </w:rPr>
        <w:t>HY</w:t>
      </w:r>
      <w:r>
        <w:rPr>
          <w:spacing w:val="4"/>
        </w:rPr>
        <w:t>-</w:t>
      </w:r>
      <w:r>
        <w:t>HT</w:t>
      </w:r>
      <w:r>
        <w:rPr>
          <w:spacing w:val="4"/>
        </w:rPr>
        <w:t>-202</w:t>
      </w:r>
      <w:r>
        <w:rPr>
          <w:rFonts w:hint="eastAsia"/>
          <w:spacing w:val="4"/>
          <w:lang w:val="en-US" w:eastAsia="zh-CN"/>
        </w:rPr>
        <w:t>5</w:t>
      </w:r>
      <w:r>
        <w:rPr>
          <w:spacing w:val="4"/>
        </w:rPr>
        <w:t>-</w:t>
      </w:r>
      <w:permStart w:id="0" w:edGrp="everyone"/>
      <w:r>
        <w:rPr>
          <w:rFonts w:hint="eastAsia"/>
          <w:spacing w:val="4"/>
          <w:lang w:val="en-US" w:eastAsia="zh-CN"/>
        </w:rPr>
        <w:t xml:space="preserve">       </w:t>
      </w:r>
    </w:p>
    <w:permEnd w:id="0"/>
    <w:p w14:paraId="652955A8">
      <w:pPr>
        <w:pStyle w:val="2"/>
        <w:spacing w:before="103" w:line="228" w:lineRule="auto"/>
        <w:ind w:left="22"/>
        <w:outlineLvl w:val="1"/>
      </w:pPr>
      <w:r>
        <w:rPr>
          <w:b/>
          <w:bCs/>
          <w:spacing w:val="3"/>
        </w:rPr>
        <w:t>第一条总则</w:t>
      </w:r>
    </w:p>
    <w:p w14:paraId="463EE6BF">
      <w:pPr>
        <w:pStyle w:val="2"/>
        <w:tabs>
          <w:tab w:val="left" w:pos="3585"/>
        </w:tabs>
        <w:spacing w:before="144" w:line="350" w:lineRule="auto"/>
        <w:ind w:left="337" w:right="3" w:firstLine="622"/>
        <w:jc w:val="both"/>
      </w:pPr>
      <w:permStart w:id="1" w:edGrp="everyone"/>
      <w:r>
        <w:rPr>
          <w:u w:val="single" w:color="auto"/>
        </w:rPr>
        <w:tab/>
      </w:r>
      <w:permEnd w:id="1"/>
      <w:r>
        <w:rPr>
          <w:spacing w:val="3"/>
        </w:rPr>
        <w:t>(以下简称甲方)，委托</w:t>
      </w:r>
      <w:r>
        <w:rPr>
          <w:rFonts w:hint="eastAsia"/>
          <w:spacing w:val="3"/>
          <w:u w:val="single" w:color="auto"/>
          <w:lang w:val="en-US" w:eastAsia="zh-CN"/>
        </w:rPr>
        <w:t xml:space="preserve"> </w:t>
      </w:r>
      <w:r>
        <w:rPr>
          <w:rFonts w:hint="eastAsia"/>
          <w:spacing w:val="3"/>
          <w:u w:val="single" w:color="auto"/>
          <w:lang w:eastAsia="zh-CN"/>
        </w:rPr>
        <w:t>华钰检测认证（江苏）有限公司</w:t>
      </w:r>
      <w:r>
        <w:rPr>
          <w:rFonts w:hint="eastAsia"/>
          <w:spacing w:val="3"/>
          <w:u w:val="single" w:color="auto"/>
          <w:lang w:val="en-US" w:eastAsia="zh-CN"/>
        </w:rPr>
        <w:t xml:space="preserve"> </w:t>
      </w:r>
      <w:r>
        <w:rPr>
          <w:spacing w:val="3"/>
        </w:rPr>
        <w:t>(以下简称乙方)，为甲</w:t>
      </w:r>
      <w:r>
        <w:rPr>
          <w:spacing w:val="10"/>
        </w:rPr>
        <w:t>方提供</w:t>
      </w:r>
      <w:permStart w:id="2" w:edGrp="everyone"/>
      <w:r>
        <w:rPr>
          <w:rFonts w:hint="eastAsia"/>
          <w:spacing w:val="10"/>
          <w:u w:val="single"/>
          <w:lang w:val="en-US" w:eastAsia="zh-CN"/>
        </w:rPr>
        <w:t xml:space="preserve">                     </w:t>
      </w:r>
      <w:permEnd w:id="2"/>
      <w:r>
        <w:rPr>
          <w:spacing w:val="10"/>
        </w:rPr>
        <w:t>管理体系认证服务。甲方拟认证的管理</w:t>
      </w:r>
      <w:r>
        <w:rPr>
          <w:spacing w:val="9"/>
        </w:rPr>
        <w:t>体系覆盖的生产或服务的活动范</w:t>
      </w:r>
      <w:r>
        <w:rPr>
          <w:spacing w:val="5"/>
        </w:rPr>
        <w:t>围，见甲方提供的《管理体系认证申请表》“认证范围”及“经营地址</w:t>
      </w:r>
      <w:r>
        <w:rPr>
          <w:spacing w:val="4"/>
        </w:rPr>
        <w:t>”栏内容。</w:t>
      </w:r>
    </w:p>
    <w:p w14:paraId="2EB7D6B1">
      <w:pPr>
        <w:pStyle w:val="2"/>
        <w:spacing w:before="33" w:line="350" w:lineRule="auto"/>
        <w:ind w:left="338" w:right="3" w:firstLine="420"/>
        <w:jc w:val="both"/>
      </w:pPr>
      <w:r>
        <w:rPr>
          <w:spacing w:val="6"/>
        </w:rPr>
        <w:t>依据《中华人民共和国民法典》、</w:t>
      </w:r>
      <w:r>
        <w:t>ISO</w:t>
      </w:r>
      <w:r>
        <w:rPr>
          <w:spacing w:val="6"/>
        </w:rPr>
        <w:t>/</w:t>
      </w:r>
      <w:r>
        <w:t>IEC</w:t>
      </w:r>
      <w:r>
        <w:rPr>
          <w:spacing w:val="6"/>
        </w:rPr>
        <w:t>17021-1、以及认证认可行业主</w:t>
      </w:r>
      <w:r>
        <w:rPr>
          <w:spacing w:val="5"/>
        </w:rPr>
        <w:t>管部门制定的规定等法律法规要</w:t>
      </w:r>
      <w:r>
        <w:rPr>
          <w:spacing w:val="7"/>
        </w:rPr>
        <w:t>求，且基于甲方对乙方必须遵守的“客观、公正、独立、诚信”原则的理解和认可，甲乙双方就以下条</w:t>
      </w:r>
      <w:r>
        <w:rPr>
          <w:spacing w:val="6"/>
        </w:rPr>
        <w:t>款协商</w:t>
      </w:r>
      <w:r>
        <w:rPr>
          <w:spacing w:val="2"/>
        </w:rPr>
        <w:t>一致。</w:t>
      </w:r>
    </w:p>
    <w:p w14:paraId="7DDA99A9">
      <w:pPr>
        <w:pStyle w:val="2"/>
        <w:spacing w:before="32" w:line="344" w:lineRule="auto"/>
        <w:ind w:left="339" w:right="3" w:firstLine="420"/>
        <w:rPr>
          <w:rFonts w:ascii="Arial"/>
          <w:sz w:val="21"/>
        </w:rPr>
      </w:pPr>
      <w:r>
        <w:rPr>
          <w:spacing w:val="8"/>
        </w:rPr>
        <w:t>如甲方处于中国境外的国家或地区，本次认证</w:t>
      </w:r>
      <w:r>
        <w:rPr>
          <w:spacing w:val="7"/>
        </w:rPr>
        <w:t>则同时依据甲方所在地相应的国际及地方合同管理、认证管理的法律法规要求。</w:t>
      </w:r>
    </w:p>
    <w:p w14:paraId="2C0E535D">
      <w:pPr>
        <w:pStyle w:val="2"/>
        <w:spacing w:before="66" w:line="228" w:lineRule="auto"/>
        <w:ind w:left="22"/>
        <w:outlineLvl w:val="1"/>
      </w:pPr>
      <w:r>
        <w:rPr>
          <w:b/>
          <w:bCs/>
          <w:spacing w:val="6"/>
        </w:rPr>
        <w:t>第二条认证工作内容：</w:t>
      </w:r>
    </w:p>
    <w:p w14:paraId="0847034A">
      <w:pPr>
        <w:pStyle w:val="2"/>
        <w:spacing w:before="144" w:line="227" w:lineRule="auto"/>
        <w:ind w:left="757"/>
      </w:pPr>
      <w:r>
        <w:rPr>
          <w:spacing w:val="8"/>
        </w:rPr>
        <w:t>本合同所包括的认证服务内容如下：</w:t>
      </w:r>
    </w:p>
    <w:p w14:paraId="7594C299">
      <w:pPr>
        <w:pStyle w:val="2"/>
        <w:spacing w:before="143" w:line="294" w:lineRule="auto"/>
        <w:ind w:left="733" w:right="4" w:hanging="381"/>
      </w:pPr>
      <w:r>
        <w:rPr>
          <w:spacing w:val="9"/>
        </w:rPr>
        <w:t>1.乙方就甲方所建立的管理体系是否符合相关认证准则进行审核；</w:t>
      </w:r>
      <w:r>
        <w:rPr>
          <w:spacing w:val="8"/>
        </w:rPr>
        <w:t>当满足认证依据及本合同所有相关条款的</w:t>
      </w:r>
      <w:r>
        <w:rPr>
          <w:spacing w:val="9"/>
        </w:rPr>
        <w:t>要求时，为甲方颁发有效期为三年的相应管理体系认证证书。</w:t>
      </w:r>
    </w:p>
    <w:p w14:paraId="658A7A41">
      <w:pPr>
        <w:pStyle w:val="2"/>
        <w:spacing w:before="143" w:line="294" w:lineRule="auto"/>
        <w:ind w:left="732" w:right="4" w:hanging="393"/>
      </w:pPr>
      <w:r>
        <w:rPr>
          <w:spacing w:val="9"/>
        </w:rPr>
        <w:t>2.乙方在甲方获证后按本合同约定及相关认证认可要求对甲方管理体系实施情况进行后续监督，</w:t>
      </w:r>
      <w:r>
        <w:rPr>
          <w:spacing w:val="8"/>
        </w:rPr>
        <w:t>以及在认证证书有效期内进行证书变更审核。</w:t>
      </w:r>
    </w:p>
    <w:p w14:paraId="09727D3F">
      <w:pPr>
        <w:pStyle w:val="2"/>
        <w:spacing w:before="143" w:line="294" w:lineRule="auto"/>
        <w:ind w:left="732" w:right="4" w:hanging="391"/>
        <w:rPr>
          <w:rFonts w:ascii="Arial"/>
          <w:sz w:val="21"/>
        </w:rPr>
      </w:pPr>
      <w:r>
        <w:rPr>
          <w:spacing w:val="10"/>
        </w:rPr>
        <w:t>3.认证证书有效期满前乙方为甲方进行</w:t>
      </w:r>
      <w:r>
        <w:rPr>
          <w:spacing w:val="9"/>
        </w:rPr>
        <w:t>再认证审核，经合格评定通过后给甲方换发延续三年有效期的新认证</w:t>
      </w:r>
      <w:r>
        <w:rPr>
          <w:spacing w:val="3"/>
        </w:rPr>
        <w:t>证书。</w:t>
      </w:r>
    </w:p>
    <w:p w14:paraId="69B6F4EC">
      <w:pPr>
        <w:pStyle w:val="2"/>
        <w:spacing w:before="65" w:line="228" w:lineRule="auto"/>
        <w:ind w:left="22"/>
        <w:outlineLvl w:val="1"/>
      </w:pPr>
      <w:r>
        <w:rPr>
          <w:b/>
          <w:bCs/>
          <w:spacing w:val="6"/>
        </w:rPr>
        <w:t>第三条认证准则：</w:t>
      </w:r>
    </w:p>
    <w:p w14:paraId="7CBC71FA">
      <w:pPr>
        <w:pStyle w:val="2"/>
        <w:spacing w:before="184" w:line="344" w:lineRule="auto"/>
        <w:ind w:left="338" w:right="3" w:firstLine="438"/>
        <w:rPr>
          <w:rFonts w:ascii="Arial"/>
          <w:sz w:val="21"/>
        </w:rPr>
      </w:pPr>
      <w:r>
        <w:rPr>
          <w:spacing w:val="6"/>
        </w:rPr>
        <w:t>乙方依据认证标准</w:t>
      </w:r>
      <w:permStart w:id="3" w:edGrp="everyone"/>
      <w:r>
        <w:rPr>
          <w:rFonts w:hint="eastAsia"/>
          <w:spacing w:val="6"/>
          <w:u w:val="single"/>
          <w:lang w:val="en-US" w:eastAsia="zh-CN"/>
        </w:rPr>
        <w:t xml:space="preserve">                    </w:t>
      </w:r>
      <w:permEnd w:id="3"/>
      <w:r>
        <w:rPr>
          <w:spacing w:val="6"/>
        </w:rPr>
        <w:t>、相</w:t>
      </w:r>
      <w:r>
        <w:rPr>
          <w:spacing w:val="5"/>
        </w:rPr>
        <w:t>关的法律法规</w:t>
      </w:r>
      <w:r>
        <w:drawing>
          <wp:inline distT="0" distB="0" distL="0" distR="0">
            <wp:extent cx="0" cy="95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0" cy="9525"/>
                    </a:xfrm>
                    <a:prstGeom prst="rect">
                      <a:avLst/>
                    </a:prstGeom>
                  </pic:spPr>
                </pic:pic>
              </a:graphicData>
            </a:graphic>
          </wp:inline>
        </w:drawing>
      </w:r>
      <w:r>
        <w:rPr>
          <w:spacing w:val="5"/>
        </w:rPr>
        <w:t>，以及甲方自己建立的管理体系文件等为</w:t>
      </w:r>
      <w:r>
        <w:rPr>
          <w:spacing w:val="8"/>
        </w:rPr>
        <w:t>准则，为甲方的管理体系予以认证。</w:t>
      </w:r>
    </w:p>
    <w:p w14:paraId="493DB125">
      <w:pPr>
        <w:pStyle w:val="2"/>
        <w:spacing w:before="65" w:line="228" w:lineRule="auto"/>
        <w:ind w:left="22"/>
        <w:outlineLvl w:val="1"/>
      </w:pPr>
      <w:r>
        <w:rPr>
          <w:b/>
          <w:bCs/>
          <w:spacing w:val="4"/>
        </w:rPr>
        <w:t>第四条甲方的权利和义务</w:t>
      </w:r>
    </w:p>
    <w:p w14:paraId="6B00B354">
      <w:pPr>
        <w:pStyle w:val="2"/>
        <w:spacing w:before="145" w:line="227" w:lineRule="auto"/>
        <w:ind w:left="352"/>
      </w:pPr>
      <w:r>
        <w:rPr>
          <w:spacing w:val="8"/>
        </w:rPr>
        <w:t>1.甲方获证后，有权宣传获准认证的事实，享有由于获准认证以及使用认证标志取得的经济利益。</w:t>
      </w:r>
    </w:p>
    <w:p w14:paraId="4CBF1562">
      <w:pPr>
        <w:pStyle w:val="2"/>
        <w:spacing w:before="142" w:line="316" w:lineRule="auto"/>
        <w:ind w:left="662" w:right="3" w:hanging="311"/>
      </w:pPr>
      <w:r>
        <w:rPr>
          <w:spacing w:val="8"/>
        </w:rPr>
        <w:t>2.甲方向乙方提出认证申请时，相应的管理体系应已运行三个月，并至少进</w:t>
      </w:r>
      <w:r>
        <w:rPr>
          <w:spacing w:val="7"/>
        </w:rPr>
        <w:t>行过一次内审和管理评审。甲方</w:t>
      </w:r>
      <w:r>
        <w:rPr>
          <w:spacing w:val="9"/>
        </w:rPr>
        <w:t>应明确告知乙方近1年内，是否向其他认证机构提交过同样的认证</w:t>
      </w:r>
      <w:r>
        <w:rPr>
          <w:spacing w:val="8"/>
        </w:rPr>
        <w:t>申请但未被受理或审核未通过、已经获</w:t>
      </w:r>
      <w:r>
        <w:rPr>
          <w:spacing w:val="9"/>
        </w:rPr>
        <w:t>得其他机构的认证证书但目前被暂停、撤销、注销等信</w:t>
      </w:r>
      <w:r>
        <w:rPr>
          <w:spacing w:val="8"/>
        </w:rPr>
        <w:t>息。甲方应提供与实际情况相符的材料证据。</w:t>
      </w:r>
    </w:p>
    <w:p w14:paraId="1B0C25AE">
      <w:pPr>
        <w:pStyle w:val="2"/>
        <w:spacing w:before="145" w:line="227" w:lineRule="auto"/>
        <w:ind w:left="353"/>
      </w:pPr>
      <w:r>
        <w:rPr>
          <w:spacing w:val="8"/>
        </w:rPr>
        <w:t>3.本合同正式签订即表明甲方做出以下承诺：</w:t>
      </w:r>
    </w:p>
    <w:p w14:paraId="0B2D0445">
      <w:pPr>
        <w:pStyle w:val="2"/>
        <w:spacing w:before="142" w:line="228" w:lineRule="auto"/>
        <w:ind w:left="364" w:firstLine="214" w:firstLineChars="100"/>
      </w:pPr>
      <w:r>
        <w:rPr>
          <w:spacing w:val="7"/>
        </w:rPr>
        <w:t>1）甲方获得认证后，承诺保证持续有效运行其认证所覆盖的管理体系；</w:t>
      </w:r>
    </w:p>
    <w:p w14:paraId="08598DEF">
      <w:pPr>
        <w:pStyle w:val="2"/>
        <w:spacing w:before="145" w:line="293" w:lineRule="auto"/>
        <w:ind w:left="688" w:leftChars="278" w:right="3" w:hanging="104" w:hangingChars="48"/>
      </w:pPr>
      <w:r>
        <w:rPr>
          <w:spacing w:val="9"/>
        </w:rPr>
        <w:t>2）甲方承诺应遵守认证认可相关法律法规，协助认证</w:t>
      </w:r>
      <w:r>
        <w:rPr>
          <w:spacing w:val="8"/>
        </w:rPr>
        <w:t>监管部门的监督检查，对有关事项的询问和调查如实提</w:t>
      </w:r>
      <w:r>
        <w:rPr>
          <w:spacing w:val="7"/>
        </w:rPr>
        <w:t>供相关材料的信息。</w:t>
      </w:r>
    </w:p>
    <w:p w14:paraId="28425CBD">
      <w:pPr>
        <w:pStyle w:val="2"/>
        <w:spacing w:before="146" w:line="315" w:lineRule="auto"/>
        <w:ind w:left="695" w:leftChars="279" w:right="3" w:hanging="109" w:hangingChars="50"/>
        <w:rPr>
          <w:b/>
          <w:bCs/>
        </w:rPr>
      </w:pPr>
      <w:r>
        <w:rPr>
          <w:spacing w:val="9"/>
        </w:rPr>
        <w:t>3）甲方承诺获得认证后正确使用认证证书、认证</w:t>
      </w:r>
      <w:r>
        <w:rPr>
          <w:spacing w:val="8"/>
        </w:rPr>
        <w:t>标志和有关信息，不利用管理体系认证证书和相关文字、符</w:t>
      </w:r>
      <w:r>
        <w:rPr>
          <w:spacing w:val="10"/>
        </w:rPr>
        <w:t>号误导公众认为其产品或服务通过认证。其中</w:t>
      </w:r>
      <w:r>
        <w:rPr>
          <w:spacing w:val="9"/>
        </w:rPr>
        <w:t>，管理体系认证标志不得用于实验室检测、校准或检查的报</w:t>
      </w:r>
      <w:r>
        <w:rPr>
          <w:spacing w:val="1"/>
        </w:rPr>
        <w:t>告上。</w:t>
      </w:r>
    </w:p>
    <w:p w14:paraId="3EB3F5AE">
      <w:pPr>
        <w:pStyle w:val="2"/>
        <w:spacing w:before="98" w:line="294" w:lineRule="auto"/>
        <w:ind w:left="663" w:right="3" w:hanging="315"/>
      </w:pPr>
      <w:r>
        <w:rPr>
          <w:spacing w:val="9"/>
        </w:rPr>
        <w:t>4.甲方应主动向乙方告知对认证审核组人员的特定要求，如语言要</w:t>
      </w:r>
      <w:r>
        <w:rPr>
          <w:spacing w:val="8"/>
        </w:rPr>
        <w:t>求，到访当地时的特定文化习惯要求，安</w:t>
      </w:r>
      <w:r>
        <w:rPr>
          <w:spacing w:val="7"/>
        </w:rPr>
        <w:t>全条件要求等。</w:t>
      </w:r>
    </w:p>
    <w:p w14:paraId="3DF9A949">
      <w:pPr>
        <w:pStyle w:val="2"/>
        <w:spacing w:before="141" w:line="316" w:lineRule="auto"/>
        <w:ind w:left="662" w:right="3" w:hanging="309"/>
      </w:pPr>
      <w:r>
        <w:rPr>
          <w:spacing w:val="9"/>
        </w:rPr>
        <w:t>5、甲方应为实施审核做出必要的安排，包括在初次认证、监督、再认证、解决投诉时，为乙方检查文件和接</w:t>
      </w:r>
      <w:r>
        <w:rPr>
          <w:spacing w:val="10"/>
        </w:rPr>
        <w:t>触所有过程与区域、记录及人员提供条件。甲方应为到场</w:t>
      </w:r>
      <w:r>
        <w:rPr>
          <w:spacing w:val="9"/>
        </w:rPr>
        <w:t>的观察员（如认可评审员）或实习审核员提供条</w:t>
      </w:r>
      <w:r>
        <w:t>件。</w:t>
      </w:r>
    </w:p>
    <w:p w14:paraId="753748BB">
      <w:pPr>
        <w:pStyle w:val="2"/>
        <w:spacing w:before="145" w:line="293" w:lineRule="auto"/>
        <w:ind w:left="665" w:right="3" w:hanging="315"/>
      </w:pPr>
      <w:r>
        <w:rPr>
          <w:spacing w:val="9"/>
        </w:rPr>
        <w:t>6.甲方应根据认证程序积极配合乙方的审核，向乙方提供真实</w:t>
      </w:r>
      <w:r>
        <w:rPr>
          <w:spacing w:val="8"/>
        </w:rPr>
        <w:t>充分的信息和记录。否则应承担因信息不准确或不真实所造成的一切后果。</w:t>
      </w:r>
    </w:p>
    <w:p w14:paraId="6F592D19">
      <w:pPr>
        <w:pStyle w:val="2"/>
        <w:spacing w:before="144" w:line="228" w:lineRule="auto"/>
        <w:ind w:left="341"/>
      </w:pPr>
      <w:r>
        <w:rPr>
          <w:spacing w:val="7"/>
        </w:rPr>
        <w:t>7.甲方如果与乙方审核组成员在认证过程中产生争议，甲方有权向乙方管理人员提出投诉。</w:t>
      </w:r>
    </w:p>
    <w:p w14:paraId="1EF1869C">
      <w:pPr>
        <w:pStyle w:val="2"/>
        <w:spacing w:before="142" w:line="294" w:lineRule="auto"/>
        <w:ind w:left="660" w:right="3" w:hanging="311"/>
      </w:pPr>
      <w:r>
        <w:rPr>
          <w:spacing w:val="9"/>
        </w:rPr>
        <w:t>8.甲方应在认证审核前就认证审核活动中可能接触到的保密、机</w:t>
      </w:r>
      <w:r>
        <w:rPr>
          <w:spacing w:val="8"/>
        </w:rPr>
        <w:t>密信息等情况与乙方进行沟通。必要时或申</w:t>
      </w:r>
      <w:r>
        <w:rPr>
          <w:spacing w:val="10"/>
        </w:rPr>
        <w:t>请信息安全管理体系认证时，应与乙方另签订信息安</w:t>
      </w:r>
      <w:r>
        <w:rPr>
          <w:spacing w:val="9"/>
        </w:rPr>
        <w:t>全风险责任协议书以明确双方的责任与义务。</w:t>
      </w:r>
    </w:p>
    <w:p w14:paraId="232FAE34">
      <w:pPr>
        <w:pStyle w:val="2"/>
        <w:spacing w:before="143" w:line="227" w:lineRule="auto"/>
        <w:ind w:left="337"/>
      </w:pPr>
      <w:r>
        <w:rPr>
          <w:spacing w:val="8"/>
        </w:rPr>
        <w:t>9.甲方获证后，在证书有效期内，如发生以下情况，应及时通报</w:t>
      </w:r>
      <w:r>
        <w:rPr>
          <w:spacing w:val="7"/>
        </w:rPr>
        <w:t>乙方：</w:t>
      </w:r>
    </w:p>
    <w:p w14:paraId="4663E8FB">
      <w:pPr>
        <w:pStyle w:val="2"/>
        <w:spacing w:before="146" w:line="228" w:lineRule="auto"/>
        <w:ind w:left="352" w:firstLine="214" w:firstLineChars="100"/>
      </w:pPr>
      <w:r>
        <w:rPr>
          <w:spacing w:val="7"/>
        </w:rPr>
        <w:t>1）客户及相关方有重大投诉；</w:t>
      </w:r>
    </w:p>
    <w:p w14:paraId="1A00D74B">
      <w:pPr>
        <w:pStyle w:val="2"/>
        <w:spacing w:before="141" w:line="227" w:lineRule="auto"/>
        <w:ind w:left="339" w:firstLine="218" w:firstLineChars="100"/>
      </w:pPr>
      <w:r>
        <w:rPr>
          <w:spacing w:val="9"/>
        </w:rPr>
        <w:t>2)生产和销售的产品或提供的服务被市场监管</w:t>
      </w:r>
      <w:r>
        <w:rPr>
          <w:spacing w:val="8"/>
        </w:rPr>
        <w:t>部门认定不合格；</w:t>
      </w:r>
    </w:p>
    <w:p w14:paraId="39A2B972">
      <w:pPr>
        <w:pStyle w:val="2"/>
        <w:spacing w:before="145" w:line="228" w:lineRule="auto"/>
        <w:ind w:left="341" w:firstLine="218" w:firstLineChars="100"/>
      </w:pPr>
      <w:r>
        <w:rPr>
          <w:spacing w:val="9"/>
        </w:rPr>
        <w:t>3)发生产品和（或）服务的质量安全、环境污染或者严重安全事故，或者严重违法；</w:t>
      </w:r>
    </w:p>
    <w:p w14:paraId="46AFD9AD">
      <w:pPr>
        <w:pStyle w:val="2"/>
        <w:spacing w:before="143" w:line="228" w:lineRule="auto"/>
        <w:ind w:left="336" w:firstLine="214" w:firstLineChars="100"/>
      </w:pPr>
      <w:r>
        <w:rPr>
          <w:spacing w:val="7"/>
        </w:rPr>
        <w:t>4)相关情况发生变更，包括：</w:t>
      </w:r>
    </w:p>
    <w:p w14:paraId="03A582A7">
      <w:pPr>
        <w:pStyle w:val="2"/>
        <w:spacing w:before="143" w:line="228" w:lineRule="auto"/>
        <w:ind w:left="629" w:firstLine="216" w:firstLineChars="100"/>
      </w:pPr>
      <w:r>
        <w:rPr>
          <w:spacing w:val="8"/>
        </w:rPr>
        <w:t>■法律地位、经营状况、组织状态或所有权的变更</w:t>
      </w:r>
    </w:p>
    <w:p w14:paraId="242EC935">
      <w:pPr>
        <w:pStyle w:val="2"/>
        <w:spacing w:before="142" w:line="227" w:lineRule="auto"/>
        <w:ind w:left="629" w:firstLine="216" w:firstLineChars="100"/>
      </w:pPr>
      <w:r>
        <w:rPr>
          <w:spacing w:val="8"/>
        </w:rPr>
        <w:t>■取得的行政许可资格、强制性认证或其他资质证书变更</w:t>
      </w:r>
    </w:p>
    <w:p w14:paraId="113F5DB5">
      <w:pPr>
        <w:pStyle w:val="2"/>
        <w:spacing w:before="145" w:line="228" w:lineRule="auto"/>
        <w:ind w:left="629" w:firstLine="214" w:firstLineChars="100"/>
      </w:pPr>
      <w:r>
        <w:rPr>
          <w:spacing w:val="7"/>
        </w:rPr>
        <w:t>■法定代表人、最高管理者的变更</w:t>
      </w:r>
    </w:p>
    <w:p w14:paraId="4180105A">
      <w:pPr>
        <w:pStyle w:val="2"/>
        <w:spacing w:before="142" w:line="228" w:lineRule="auto"/>
        <w:ind w:left="629" w:firstLine="214" w:firstLineChars="100"/>
      </w:pPr>
      <w:r>
        <w:rPr>
          <w:spacing w:val="7"/>
        </w:rPr>
        <w:t>■生产经营或服务的工作场所变更</w:t>
      </w:r>
    </w:p>
    <w:p w14:paraId="210BB2AC">
      <w:pPr>
        <w:pStyle w:val="2"/>
        <w:spacing w:before="144" w:line="228" w:lineRule="auto"/>
        <w:ind w:left="629" w:firstLine="214" w:firstLineChars="100"/>
      </w:pPr>
      <w:r>
        <w:rPr>
          <w:spacing w:val="7"/>
        </w:rPr>
        <w:t>■管理体系覆盖的活动范围的变更</w:t>
      </w:r>
    </w:p>
    <w:p w14:paraId="4A45D15F">
      <w:pPr>
        <w:pStyle w:val="2"/>
        <w:spacing w:before="142" w:line="227" w:lineRule="auto"/>
        <w:ind w:left="629" w:firstLine="218" w:firstLineChars="100"/>
      </w:pPr>
      <w:r>
        <w:rPr>
          <w:spacing w:val="9"/>
        </w:rPr>
        <w:t>■信息安全管理体系的适用性声明版本变更（适用于信息安全管理体系认证</w:t>
      </w:r>
      <w:r>
        <w:rPr>
          <w:spacing w:val="-53"/>
        </w:rPr>
        <w:t>）；</w:t>
      </w:r>
    </w:p>
    <w:p w14:paraId="40229A35">
      <w:pPr>
        <w:pStyle w:val="2"/>
        <w:spacing w:before="145" w:line="228" w:lineRule="auto"/>
        <w:ind w:left="629" w:firstLine="214" w:firstLineChars="100"/>
      </w:pPr>
      <w:r>
        <w:rPr>
          <w:spacing w:val="7"/>
        </w:rPr>
        <w:t>■管理体系和重要过程的重大变更等。</w:t>
      </w:r>
    </w:p>
    <w:p w14:paraId="428C1212">
      <w:pPr>
        <w:pStyle w:val="2"/>
        <w:spacing w:before="142" w:line="228" w:lineRule="auto"/>
        <w:ind w:left="341" w:firstLine="214" w:firstLineChars="100"/>
      </w:pPr>
      <w:r>
        <w:rPr>
          <w:spacing w:val="7"/>
        </w:rPr>
        <w:t>5)出现影响管理体系运行的其他重要情况。</w:t>
      </w:r>
    </w:p>
    <w:p w14:paraId="49A5F98B">
      <w:pPr>
        <w:pStyle w:val="2"/>
        <w:spacing w:before="143" w:line="316" w:lineRule="auto"/>
        <w:ind w:left="664" w:right="3" w:hanging="300"/>
      </w:pPr>
      <w:r>
        <w:rPr>
          <w:spacing w:val="10"/>
        </w:rPr>
        <w:t>10.甲方获证后，应按期接受乙方的监督审核及再</w:t>
      </w:r>
      <w:r>
        <w:rPr>
          <w:spacing w:val="9"/>
        </w:rPr>
        <w:t>认证审核，以便乙方验证认证所覆盖的管理体系是否持续</w:t>
      </w:r>
      <w:r>
        <w:rPr>
          <w:spacing w:val="10"/>
        </w:rPr>
        <w:t>符合认证要求；若未能按规定时限完成年度审核，将</w:t>
      </w:r>
      <w:r>
        <w:rPr>
          <w:spacing w:val="9"/>
        </w:rPr>
        <w:t>由甲方自行承担可能的后果，包括证书被暂停等。当</w:t>
      </w:r>
      <w:r>
        <w:rPr>
          <w:spacing w:val="10"/>
        </w:rPr>
        <w:t>甲方被暂停后最长不超过六个月内完成整改，认证</w:t>
      </w:r>
      <w:r>
        <w:rPr>
          <w:spacing w:val="9"/>
        </w:rPr>
        <w:t>资格可以被恢复；否则，认证证书则予以撤销：</w:t>
      </w:r>
    </w:p>
    <w:p w14:paraId="3238CE23">
      <w:pPr>
        <w:pStyle w:val="2"/>
        <w:spacing w:before="143" w:line="228" w:lineRule="auto"/>
        <w:ind w:left="352" w:firstLine="220" w:firstLineChars="100"/>
      </w:pPr>
      <w:r>
        <w:rPr>
          <w:spacing w:val="10"/>
        </w:rPr>
        <w:t>1）初次获证后的每次年度审核应在上次审核后的9-12个月内完</w:t>
      </w:r>
      <w:r>
        <w:rPr>
          <w:spacing w:val="9"/>
        </w:rPr>
        <w:t>成，且每个自然年内须进行一次审核。</w:t>
      </w:r>
    </w:p>
    <w:p w14:paraId="6DD149B9">
      <w:pPr>
        <w:pStyle w:val="2"/>
        <w:spacing w:before="144" w:line="227" w:lineRule="auto"/>
        <w:ind w:left="339" w:firstLine="216" w:firstLineChars="100"/>
      </w:pPr>
      <w:r>
        <w:rPr>
          <w:spacing w:val="8"/>
        </w:rPr>
        <w:t>2）再认证审核宜在原证书到期前三个月实施。</w:t>
      </w:r>
    </w:p>
    <w:p w14:paraId="4E7E0BEC">
      <w:pPr>
        <w:pStyle w:val="2"/>
        <w:spacing w:before="144" w:line="294" w:lineRule="auto"/>
        <w:ind w:left="734" w:leftChars="274" w:right="4" w:hanging="159" w:hangingChars="73"/>
      </w:pPr>
      <w:r>
        <w:rPr>
          <w:spacing w:val="9"/>
        </w:rPr>
        <w:t>3）对于审核中发现的不符合项，甲方应在约定的期限内完成原因分析、纠</w:t>
      </w:r>
      <w:r>
        <w:rPr>
          <w:spacing w:val="8"/>
        </w:rPr>
        <w:t>正和制定纠正措施并提交乙方以便</w:t>
      </w:r>
      <w:r>
        <w:rPr>
          <w:spacing w:val="9"/>
        </w:rPr>
        <w:t>及时进行整改有效性的验证，否则将由甲方自行承担可能导致认证注册不通过的损失。</w:t>
      </w:r>
    </w:p>
    <w:p w14:paraId="4BF0063E">
      <w:pPr>
        <w:pStyle w:val="2"/>
        <w:spacing w:before="161" w:line="228" w:lineRule="auto"/>
        <w:ind w:left="352"/>
      </w:pPr>
      <w:r>
        <w:rPr>
          <w:spacing w:val="7"/>
        </w:rPr>
        <w:t>11.甲方应按照双方约定的时间和金额，向乙方交纳相关认证费。</w:t>
      </w:r>
    </w:p>
    <w:p w14:paraId="4BB389A9">
      <w:pPr>
        <w:pStyle w:val="2"/>
        <w:spacing w:before="94" w:line="227" w:lineRule="auto"/>
        <w:ind w:left="364"/>
      </w:pPr>
      <w:r>
        <w:rPr>
          <w:spacing w:val="6"/>
        </w:rPr>
        <w:t>12.甲方如决定注销证书，应书面通知乙方，由乙方办理证书注销手续。</w:t>
      </w:r>
    </w:p>
    <w:p w14:paraId="2E2C8F56">
      <w:pPr>
        <w:pStyle w:val="2"/>
        <w:spacing w:before="145" w:line="293" w:lineRule="auto"/>
        <w:ind w:left="663" w:right="4" w:hanging="299"/>
      </w:pPr>
      <w:r>
        <w:rPr>
          <w:spacing w:val="9"/>
        </w:rPr>
        <w:t>13.甲方的认证证书被注销、暂停或撤销后，甲方不得继续在任何业务活动及宣传中使用被注销、暂停或撤</w:t>
      </w:r>
      <w:r>
        <w:rPr>
          <w:spacing w:val="8"/>
        </w:rPr>
        <w:t>销的认证证书和认证标志；当被注销或撤销后，甲方应将证书及时交还乙方。</w:t>
      </w:r>
    </w:p>
    <w:p w14:paraId="6D78C383">
      <w:pPr>
        <w:pStyle w:val="2"/>
        <w:spacing w:before="145" w:line="316" w:lineRule="auto"/>
        <w:ind w:left="666" w:right="4" w:hanging="302"/>
        <w:rPr>
          <w:rFonts w:ascii="Arial"/>
          <w:sz w:val="21"/>
        </w:rPr>
      </w:pPr>
      <w:r>
        <w:rPr>
          <w:spacing w:val="10"/>
        </w:rPr>
        <w:t>14.甲方应对进入甲方现场的审核组人员进行安全管理要求的培训。乙方人员因未遵守甲方安全管理制度而</w:t>
      </w:r>
      <w:r>
        <w:rPr>
          <w:spacing w:val="9"/>
        </w:rPr>
        <w:t>发生安全事故的，甲方可不承担事故责任。若甲方未</w:t>
      </w:r>
      <w:r>
        <w:rPr>
          <w:spacing w:val="8"/>
        </w:rPr>
        <w:t>尽到应告知义务、造成审核组成员发生安全事故的，</w:t>
      </w:r>
      <w:r>
        <w:rPr>
          <w:spacing w:val="9"/>
        </w:rPr>
        <w:t>由甲方承担事故责任。事故责任赔偿由第三方权威机构基于相关法律法规予以认定。</w:t>
      </w:r>
    </w:p>
    <w:p w14:paraId="557F9CCD">
      <w:pPr>
        <w:pStyle w:val="2"/>
        <w:spacing w:before="97" w:line="228" w:lineRule="auto"/>
        <w:ind w:left="22"/>
        <w:outlineLvl w:val="1"/>
      </w:pPr>
      <w:r>
        <w:rPr>
          <w:b/>
          <w:bCs/>
          <w:spacing w:val="5"/>
        </w:rPr>
        <w:t>第五条乙方的权利和义务</w:t>
      </w:r>
    </w:p>
    <w:p w14:paraId="6ED70EC1">
      <w:pPr>
        <w:pStyle w:val="2"/>
        <w:spacing w:before="144" w:line="316" w:lineRule="auto"/>
        <w:ind w:left="662" w:right="70" w:hanging="298"/>
      </w:pPr>
      <w:r>
        <w:rPr>
          <w:spacing w:val="9"/>
        </w:rPr>
        <w:t>1.乙方按照国际标准或中国国家标准、行业规</w:t>
      </w:r>
      <w:r>
        <w:rPr>
          <w:spacing w:val="8"/>
        </w:rPr>
        <w:t>定，独立、公正、客观地对双方商讨后确定（甲方申请的）的</w:t>
      </w:r>
      <w:r>
        <w:rPr>
          <w:spacing w:val="10"/>
        </w:rPr>
        <w:t>范围进行管理体系认证。乙方应在审核前将现场审核</w:t>
      </w:r>
      <w:r>
        <w:rPr>
          <w:spacing w:val="9"/>
        </w:rPr>
        <w:t>组的组成、审核安排情况与甲方沟通，并发送审核计</w:t>
      </w:r>
      <w:r>
        <w:rPr>
          <w:spacing w:val="8"/>
        </w:rPr>
        <w:t>划给甲方，按约定时间实施审核。</w:t>
      </w:r>
    </w:p>
    <w:p w14:paraId="09BBABB8">
      <w:pPr>
        <w:pStyle w:val="2"/>
        <w:spacing w:before="142" w:line="294" w:lineRule="auto"/>
        <w:ind w:left="663" w:right="70" w:hanging="312"/>
      </w:pPr>
      <w:r>
        <w:rPr>
          <w:spacing w:val="9"/>
        </w:rPr>
        <w:t>2.当甲方认证所覆盖的管理体系符合认证要求时，乙方依据本合同的约定为甲方注册、颁发证书，并准许甲</w:t>
      </w:r>
      <w:r>
        <w:rPr>
          <w:spacing w:val="8"/>
        </w:rPr>
        <w:t>方使用认证证书及认证标志。</w:t>
      </w:r>
    </w:p>
    <w:p w14:paraId="050ABBEA">
      <w:pPr>
        <w:pStyle w:val="2"/>
        <w:spacing w:before="143" w:line="294" w:lineRule="auto"/>
        <w:ind w:left="666" w:right="70" w:hanging="313"/>
      </w:pPr>
      <w:r>
        <w:rPr>
          <w:spacing w:val="9"/>
        </w:rPr>
        <w:t>3.任何足以引起甲方不能维持认证管理体系正常运转的情形出现时，乙方有权增加监督审核频次或对甲方进</w:t>
      </w:r>
      <w:r>
        <w:rPr>
          <w:spacing w:val="7"/>
        </w:rPr>
        <w:t>行不预先通知的非例行的现场监督抽查，由此产生的费用（如审核费、差旅费等）由甲方承担。</w:t>
      </w:r>
    </w:p>
    <w:p w14:paraId="3058F6E0">
      <w:pPr>
        <w:pStyle w:val="2"/>
        <w:spacing w:before="140" w:line="334" w:lineRule="auto"/>
        <w:ind w:left="663" w:right="70" w:hanging="315"/>
      </w:pPr>
      <w:r>
        <w:rPr>
          <w:spacing w:val="9"/>
        </w:rPr>
        <w:t>4.甲方未能满足认证要求，且不能按规定时限要求对乙方所提出的</w:t>
      </w:r>
      <w:r>
        <w:rPr>
          <w:spacing w:val="8"/>
        </w:rPr>
        <w:t>不符合项进行有效纠正时，乙方有权不推</w:t>
      </w:r>
      <w:r>
        <w:rPr>
          <w:spacing w:val="10"/>
        </w:rPr>
        <w:t>荐注册和发证；如果甲方获证后未能持续符合认证要求，</w:t>
      </w:r>
      <w:r>
        <w:rPr>
          <w:spacing w:val="9"/>
        </w:rPr>
        <w:t>或未在规定的时间内接受监督审核或再认证，或</w:t>
      </w:r>
      <w:r>
        <w:rPr>
          <w:spacing w:val="10"/>
        </w:rPr>
        <w:t>未能对乙方所提出的不符合项在规定时限内进行有效纠正</w:t>
      </w:r>
      <w:r>
        <w:rPr>
          <w:spacing w:val="9"/>
        </w:rPr>
        <w:t>，或存在其他违规行为的，乙方有权缩小其认证</w:t>
      </w:r>
      <w:r>
        <w:rPr>
          <w:spacing w:val="10"/>
        </w:rPr>
        <w:t>范围、以排除不满足要求的部分，或暂停、直至撤销认</w:t>
      </w:r>
      <w:r>
        <w:rPr>
          <w:spacing w:val="9"/>
        </w:rPr>
        <w:t>证证书。乙方仍有权收取按本合同约定的相关的认</w:t>
      </w:r>
      <w:r>
        <w:rPr>
          <w:spacing w:val="8"/>
        </w:rPr>
        <w:t>证费用、差旅费及相应的滞纳金。</w:t>
      </w:r>
    </w:p>
    <w:p w14:paraId="3F8C0640">
      <w:pPr>
        <w:pStyle w:val="2"/>
        <w:spacing w:before="142" w:line="327" w:lineRule="auto"/>
        <w:ind w:left="653" w:hanging="312"/>
      </w:pPr>
      <w:r>
        <w:rPr>
          <w:spacing w:val="9"/>
        </w:rPr>
        <w:t>5.乙方应及时在官方网站或通过其他方式公布甲方的认证信息。当甲方被暂停或撤销认证证</w:t>
      </w:r>
      <w:r>
        <w:rPr>
          <w:spacing w:val="8"/>
        </w:rPr>
        <w:t>书时，乙方应及</w:t>
      </w:r>
      <w:r>
        <w:rPr>
          <w:spacing w:val="7"/>
        </w:rPr>
        <w:t>时以书面形式将暂停/撤销决定通知甲方，并有权依据相关法律法规及</w:t>
      </w:r>
      <w:r>
        <w:rPr>
          <w:spacing w:val="6"/>
        </w:rPr>
        <w:t>行业有关部门的规定，将暂停/撤销、</w:t>
      </w:r>
      <w:r>
        <w:rPr>
          <w:spacing w:val="9"/>
        </w:rPr>
        <w:t>注销的认证状态予以公告。甲方的证书被暂停后，在规定的时限内按乙方的要求予以整改并验证通过的，</w:t>
      </w:r>
      <w:r>
        <w:rPr>
          <w:spacing w:val="8"/>
        </w:rPr>
        <w:t>乙方可为甲方恢复认证资格。</w:t>
      </w:r>
    </w:p>
    <w:p w14:paraId="66230B4E">
      <w:pPr>
        <w:pStyle w:val="2"/>
        <w:spacing w:before="144" w:line="316" w:lineRule="auto"/>
        <w:ind w:left="653" w:right="69" w:hanging="315"/>
      </w:pPr>
      <w:r>
        <w:rPr>
          <w:spacing w:val="9"/>
        </w:rPr>
        <w:t>6.由甲方提供的、或在特殊审核期间审核组直接收集的有关导致监管机构参与（调查）</w:t>
      </w:r>
      <w:r>
        <w:rPr>
          <w:spacing w:val="8"/>
        </w:rPr>
        <w:t>的事件信息，如严重</w:t>
      </w:r>
      <w:r>
        <w:rPr>
          <w:spacing w:val="13"/>
        </w:rPr>
        <w:t>事故或严重违法（行为</w:t>
      </w:r>
      <w:r>
        <w:rPr>
          <w:spacing w:val="-25"/>
        </w:rPr>
        <w:t>），</w:t>
      </w:r>
      <w:r>
        <w:rPr>
          <w:spacing w:val="13"/>
        </w:rPr>
        <w:t>为甲方提供决定采取措施的理由；包括，一旦证明体系严重地不能满足</w:t>
      </w:r>
      <w:r>
        <w:t>OHSMS</w:t>
      </w:r>
      <w:r>
        <w:rPr>
          <w:spacing w:val="7"/>
        </w:rPr>
        <w:t>认证要求，乙方有权采取暂停或撤销认证的措施（职业健康安全管理体系认证适用）。</w:t>
      </w:r>
    </w:p>
    <w:p w14:paraId="1C2E4CC4">
      <w:pPr>
        <w:pStyle w:val="2"/>
        <w:spacing w:before="143" w:line="294" w:lineRule="auto"/>
        <w:ind w:left="664" w:right="70" w:hanging="311"/>
      </w:pPr>
      <w:r>
        <w:rPr>
          <w:spacing w:val="9"/>
        </w:rPr>
        <w:t>7.乙方应以书面方式将其认证要求（如认证标识、认证标准等）的重</w:t>
      </w:r>
      <w:r>
        <w:rPr>
          <w:spacing w:val="8"/>
        </w:rPr>
        <w:t>大变更情况通知甲方。乙方应验证甲方</w:t>
      </w:r>
      <w:r>
        <w:rPr>
          <w:spacing w:val="6"/>
        </w:rPr>
        <w:t>符合新的要求。</w:t>
      </w:r>
    </w:p>
    <w:p w14:paraId="4C17E2AA">
      <w:pPr>
        <w:pStyle w:val="2"/>
        <w:spacing w:before="143" w:line="294" w:lineRule="auto"/>
        <w:ind w:left="678" w:right="70" w:hanging="329"/>
      </w:pPr>
      <w:r>
        <w:rPr>
          <w:spacing w:val="9"/>
        </w:rPr>
        <w:t>8.基于以下原因，乙方对甲方发生的任何产品质量、环境、人身安全、食品安全、信息安全等事故及该事故</w:t>
      </w:r>
      <w:r>
        <w:rPr>
          <w:spacing w:val="7"/>
        </w:rPr>
        <w:t>引发的对任何人的赔偿不承担责任。</w:t>
      </w:r>
    </w:p>
    <w:p w14:paraId="215EBC22">
      <w:pPr>
        <w:pStyle w:val="2"/>
        <w:spacing w:before="143" w:line="294" w:lineRule="auto"/>
        <w:ind w:left="660" w:right="70" w:firstLine="10"/>
      </w:pPr>
      <w:r>
        <w:rPr>
          <w:spacing w:val="7"/>
        </w:rPr>
        <w:t>●认证所采取的抽样方法以及认证所依据的标准仅仅是对管理体系的要求，也仅对抽样负责，并不是针对</w:t>
      </w:r>
      <w:r>
        <w:rPr>
          <w:spacing w:val="8"/>
        </w:rPr>
        <w:t>产品要求或管理绩效的准则；</w:t>
      </w:r>
    </w:p>
    <w:p w14:paraId="4DED880E">
      <w:pPr>
        <w:pStyle w:val="2"/>
        <w:spacing w:before="143" w:line="295" w:lineRule="auto"/>
        <w:ind w:left="660" w:right="71" w:firstLine="10"/>
      </w:pPr>
      <w:r>
        <w:rPr>
          <w:spacing w:val="7"/>
        </w:rPr>
        <w:t>●质量管理体系、信息技术服务管理体系认证并不表示组织提供优质产品或产品本身被证明符合质量管理体系或规范的要求；</w:t>
      </w:r>
    </w:p>
    <w:p w14:paraId="7F32EE42">
      <w:pPr>
        <w:pStyle w:val="2"/>
        <w:spacing w:before="141" w:line="294" w:lineRule="auto"/>
        <w:ind w:left="683" w:right="16" w:hanging="12"/>
      </w:pPr>
      <w:r>
        <w:rPr>
          <w:spacing w:val="4"/>
        </w:rPr>
        <w:t>●环境或职业健康安全、食品安全、信息安全管理体系等的认证并不表示组织实现了相应管</w:t>
      </w:r>
      <w:r>
        <w:rPr>
          <w:spacing w:val="3"/>
        </w:rPr>
        <w:t>理的最佳绩效，</w:t>
      </w:r>
      <w:r>
        <w:rPr>
          <w:spacing w:val="6"/>
        </w:rPr>
        <w:t>以及永远满足合规性的要求。</w:t>
      </w:r>
    </w:p>
    <w:p w14:paraId="015C0E94">
      <w:pPr>
        <w:pStyle w:val="2"/>
        <w:spacing w:before="143" w:line="294" w:lineRule="auto"/>
        <w:ind w:left="661" w:right="69" w:hanging="312"/>
      </w:pPr>
      <w:r>
        <w:rPr>
          <w:spacing w:val="9"/>
        </w:rPr>
        <w:t>9.若甲方隐瞒重大信息或提供虚假信息（包括企业资质、关键</w:t>
      </w:r>
      <w:r>
        <w:rPr>
          <w:spacing w:val="8"/>
        </w:rPr>
        <w:t>产品或活动的检测报告等</w:t>
      </w:r>
      <w:r>
        <w:rPr>
          <w:spacing w:val="-30"/>
        </w:rPr>
        <w:t>），</w:t>
      </w:r>
      <w:r>
        <w:rPr>
          <w:spacing w:val="8"/>
        </w:rPr>
        <w:t>乙方除有权暂停/</w:t>
      </w:r>
      <w:r>
        <w:rPr>
          <w:spacing w:val="9"/>
        </w:rPr>
        <w:t>撤销证书以外，还有权要求甲方承担由此给乙方造成的名誉及经济损失。</w:t>
      </w:r>
    </w:p>
    <w:p w14:paraId="1D7E00AD">
      <w:pPr>
        <w:pStyle w:val="2"/>
        <w:spacing w:before="142" w:line="227" w:lineRule="auto"/>
        <w:ind w:left="364"/>
      </w:pPr>
      <w:r>
        <w:rPr>
          <w:spacing w:val="8"/>
        </w:rPr>
        <w:t>10.乙方承诺不泄露审核过程所涉及到的甲方的商业机密及技术机密给任何第三方，以下信息例外：</w:t>
      </w:r>
    </w:p>
    <w:p w14:paraId="73C67D32">
      <w:pPr>
        <w:pStyle w:val="2"/>
        <w:spacing w:before="145" w:line="228" w:lineRule="auto"/>
        <w:ind w:left="748"/>
      </w:pPr>
      <w:r>
        <w:rPr>
          <w:spacing w:val="2"/>
        </w:rPr>
        <w:t>●公开的信息；</w:t>
      </w:r>
    </w:p>
    <w:p w14:paraId="3BD17C02">
      <w:pPr>
        <w:pStyle w:val="2"/>
        <w:spacing w:before="142" w:line="227" w:lineRule="auto"/>
        <w:ind w:left="748"/>
      </w:pPr>
      <w:r>
        <w:rPr>
          <w:spacing w:val="3"/>
        </w:rPr>
        <w:t>●甲方书面允许的信息；</w:t>
      </w:r>
    </w:p>
    <w:p w14:paraId="7C0845FC">
      <w:pPr>
        <w:pStyle w:val="2"/>
        <w:spacing w:before="146" w:line="227" w:lineRule="auto"/>
        <w:ind w:left="748"/>
      </w:pPr>
      <w:r>
        <w:rPr>
          <w:spacing w:val="6"/>
        </w:rPr>
        <w:t>●法律程序要求提供的信息；</w:t>
      </w:r>
    </w:p>
    <w:p w14:paraId="5FAB57E7">
      <w:pPr>
        <w:pStyle w:val="2"/>
        <w:spacing w:before="143" w:line="226" w:lineRule="auto"/>
        <w:ind w:left="751"/>
      </w:pPr>
      <w:r>
        <w:rPr>
          <w:spacing w:val="8"/>
        </w:rPr>
        <w:t>乙方就甲方沟通的可能在认证审核活动中涉及到的保密、机密信息</w:t>
      </w:r>
      <w:r>
        <w:rPr>
          <w:spacing w:val="7"/>
        </w:rPr>
        <w:t>等情况做出评估。必要时或实施信息安</w:t>
      </w:r>
    </w:p>
    <w:p w14:paraId="59DFE4CB">
      <w:pPr>
        <w:pStyle w:val="2"/>
        <w:spacing w:before="65" w:line="228" w:lineRule="auto"/>
        <w:ind w:left="22"/>
        <w:outlineLvl w:val="1"/>
      </w:pPr>
      <w:r>
        <w:rPr>
          <w:b/>
          <w:bCs/>
          <w:spacing w:val="7"/>
        </w:rPr>
        <w:t>第六条违约责任</w:t>
      </w:r>
    </w:p>
    <w:p w14:paraId="7E070DBF">
      <w:pPr>
        <w:pStyle w:val="2"/>
        <w:spacing w:before="146" w:line="326" w:lineRule="auto"/>
        <w:ind w:left="662" w:right="70" w:hanging="298"/>
      </w:pPr>
      <w:r>
        <w:rPr>
          <w:spacing w:val="9"/>
        </w:rPr>
        <w:t>1.当甲方未能按照合同约定的时间和金额支付乙方认证费用，无论其原因，乙方即获得暂停直至撤</w:t>
      </w:r>
      <w:r>
        <w:rPr>
          <w:spacing w:val="8"/>
        </w:rPr>
        <w:t>销甲方证</w:t>
      </w:r>
      <w:r>
        <w:rPr>
          <w:spacing w:val="10"/>
        </w:rPr>
        <w:t>书的权利。证书暂停期间及撤销后，甲方仍须支付已</w:t>
      </w:r>
      <w:r>
        <w:rPr>
          <w:spacing w:val="9"/>
        </w:rPr>
        <w:t>完成的认证活动产生的认证费用、差旅费以及相</w:t>
      </w:r>
      <w:bookmarkStart w:id="0" w:name="_GoBack"/>
      <w:bookmarkEnd w:id="0"/>
      <w:r>
        <w:rPr>
          <w:spacing w:val="9"/>
        </w:rPr>
        <w:t>应的</w:t>
      </w:r>
      <w:r>
        <w:rPr>
          <w:spacing w:val="7"/>
        </w:rPr>
        <w:t>滞纳金。乙方于现场审核后应付款日（依据第九条确定）届至之日起第30天后按照总认证费用的5‰每天</w:t>
      </w:r>
      <w:r>
        <w:rPr>
          <w:spacing w:val="9"/>
        </w:rPr>
        <w:t>收取滞纳金。认证费用的总和即本合同第九条款各项费用之和。</w:t>
      </w:r>
    </w:p>
    <w:p w14:paraId="5010F832">
      <w:pPr>
        <w:pStyle w:val="2"/>
        <w:spacing w:before="145" w:line="293" w:lineRule="auto"/>
        <w:ind w:left="662" w:right="70" w:hanging="311"/>
      </w:pPr>
      <w:r>
        <w:rPr>
          <w:spacing w:val="9"/>
        </w:rPr>
        <w:t>2.若甲方在约定的审核前两天或审核中途取消审核，仍须支付乙方合同中所规定的合同金额、已经发生的差旅费用以及相应的滞纳金，滞纳金从原定的审核日起计算。</w:t>
      </w:r>
    </w:p>
    <w:p w14:paraId="2AB1432E">
      <w:pPr>
        <w:pStyle w:val="2"/>
        <w:spacing w:before="144" w:line="316" w:lineRule="auto"/>
        <w:ind w:left="664" w:right="70" w:hanging="311"/>
      </w:pPr>
      <w:r>
        <w:rPr>
          <w:spacing w:val="9"/>
        </w:rPr>
        <w:t>3.认证证书被暂停、撤销或注销后，甲方应停止相关宣传，销毁所有带有被撤销或注销的认证证书和标志的</w:t>
      </w:r>
      <w:r>
        <w:rPr>
          <w:spacing w:val="8"/>
        </w:rPr>
        <w:t>宣传材料、广告、名片、公函等。证书的认证范围被缩小时，甲方应修改相</w:t>
      </w:r>
      <w:r>
        <w:rPr>
          <w:spacing w:val="7"/>
        </w:rPr>
        <w:t>应的广告宣传材料。甲方如违</w:t>
      </w:r>
      <w:r>
        <w:rPr>
          <w:spacing w:val="9"/>
        </w:rPr>
        <w:t>反以上要求，需承担由此引起的一切法律责</w:t>
      </w:r>
      <w:r>
        <w:rPr>
          <w:spacing w:val="8"/>
        </w:rPr>
        <w:t>任。</w:t>
      </w:r>
    </w:p>
    <w:p w14:paraId="51016912">
      <w:pPr>
        <w:pStyle w:val="2"/>
        <w:spacing w:before="65" w:line="228" w:lineRule="auto"/>
        <w:ind w:left="22"/>
        <w:outlineLvl w:val="1"/>
      </w:pPr>
      <w:r>
        <w:rPr>
          <w:b/>
          <w:bCs/>
          <w:spacing w:val="7"/>
        </w:rPr>
        <w:t>第七条纠纷及争议处理</w:t>
      </w:r>
    </w:p>
    <w:p w14:paraId="57C74990">
      <w:pPr>
        <w:pStyle w:val="2"/>
        <w:spacing w:before="143" w:line="294" w:lineRule="auto"/>
        <w:ind w:left="664" w:right="70" w:hanging="311"/>
        <w:rPr>
          <w:spacing w:val="10"/>
        </w:rPr>
      </w:pPr>
      <w:r>
        <w:rPr>
          <w:spacing w:val="10"/>
        </w:rPr>
        <w:t>1.本合同依法订立，具有法律约束力，当事双方应全面履行合同约定的义务，任何一方不得擅自变更或解除。</w:t>
      </w:r>
    </w:p>
    <w:p w14:paraId="2B5FB4DA">
      <w:pPr>
        <w:pStyle w:val="2"/>
        <w:spacing w:before="143" w:line="294" w:lineRule="auto"/>
        <w:ind w:left="664" w:right="70" w:hanging="311"/>
        <w:rPr>
          <w:spacing w:val="10"/>
        </w:rPr>
      </w:pPr>
      <w:r>
        <w:rPr>
          <w:spacing w:val="10"/>
        </w:rPr>
        <w:t>2.发生合同纠纷时，当事双方应及时通过友好协商或调解解决。</w:t>
      </w:r>
    </w:p>
    <w:p w14:paraId="7B4A5699">
      <w:pPr>
        <w:pStyle w:val="2"/>
        <w:spacing w:before="143" w:line="294" w:lineRule="auto"/>
        <w:ind w:left="664" w:right="70" w:hanging="311"/>
      </w:pPr>
      <w:r>
        <w:rPr>
          <w:spacing w:val="10"/>
        </w:rPr>
        <w:t>3.甲方如对审核过程、审核组行为或审核结论有任何抱怨或未解决的争议，均可在审核</w:t>
      </w:r>
      <w:r>
        <w:rPr>
          <w:spacing w:val="9"/>
        </w:rPr>
        <w:t>结束后30天内向乙</w:t>
      </w:r>
      <w:r>
        <w:rPr>
          <w:spacing w:val="8"/>
        </w:rPr>
        <w:t>方提出书面投诉或申诉。乙方应在30天内完成调查、解决和答复的程序。</w:t>
      </w:r>
    </w:p>
    <w:p w14:paraId="308F8DAD">
      <w:pPr>
        <w:pStyle w:val="2"/>
        <w:spacing w:before="141" w:line="318" w:lineRule="auto"/>
        <w:ind w:left="663" w:right="70" w:hanging="315"/>
      </w:pPr>
      <w:r>
        <w:rPr>
          <w:spacing w:val="9"/>
        </w:rPr>
        <w:t>4.如果上述程序未能解决争议，双方应再次就事实及解决问题的依据进行充分协商处理，如果仍无法达成一</w:t>
      </w:r>
      <w:r>
        <w:rPr>
          <w:spacing w:val="10"/>
        </w:rPr>
        <w:t>致时，可以依据《中华人民共和国民法典》中有关条款</w:t>
      </w:r>
      <w:r>
        <w:rPr>
          <w:spacing w:val="9"/>
        </w:rPr>
        <w:t>规定，向甲方所在地的有管辖权的人民法院提起诉</w:t>
      </w:r>
      <w:r>
        <w:t>讼。</w:t>
      </w:r>
    </w:p>
    <w:p w14:paraId="3307A6E5">
      <w:pPr>
        <w:pStyle w:val="2"/>
        <w:spacing w:before="66" w:line="228" w:lineRule="auto"/>
        <w:ind w:left="22"/>
        <w:outlineLvl w:val="1"/>
      </w:pPr>
      <w:r>
        <w:rPr>
          <w:b/>
          <w:bCs/>
          <w:spacing w:val="7"/>
        </w:rPr>
        <w:t>第八条合同有效期</w:t>
      </w:r>
    </w:p>
    <w:p w14:paraId="02BE178E">
      <w:pPr>
        <w:pStyle w:val="2"/>
        <w:spacing w:before="144" w:line="350" w:lineRule="auto"/>
        <w:ind w:left="309" w:right="70" w:firstLine="419"/>
        <w:jc w:val="both"/>
        <w:rPr>
          <w:rFonts w:ascii="Arial"/>
          <w:sz w:val="21"/>
        </w:rPr>
      </w:pPr>
      <w:r>
        <w:rPr>
          <w:spacing w:val="8"/>
        </w:rPr>
        <w:t>本合同有效期覆盖本认证周期（自合同签订之日起至认证证书有效期截止日）。证书到期前，乙方可根据以往的审核结果，或依据相关的法律法规要求，或其他可能导致认证风险的因素确定是否受理甲方的再认证要</w:t>
      </w:r>
      <w:r>
        <w:rPr>
          <w:spacing w:val="10"/>
        </w:rPr>
        <w:t>求。经双方协商均未提出异议的，本合同继续保持有</w:t>
      </w:r>
      <w:r>
        <w:rPr>
          <w:spacing w:val="9"/>
        </w:rPr>
        <w:t>效，直至本合同约定的认证服务项目终止之日为止。</w:t>
      </w:r>
    </w:p>
    <w:p w14:paraId="0E8D5BCB">
      <w:pPr>
        <w:pStyle w:val="2"/>
        <w:spacing w:before="66" w:line="228" w:lineRule="auto"/>
        <w:ind w:left="22"/>
        <w:outlineLvl w:val="1"/>
      </w:pPr>
      <w:r>
        <w:rPr>
          <w:b/>
          <w:bCs/>
          <w:spacing w:val="7"/>
        </w:rPr>
        <w:t>第九条认证费用、付款及与此相关的约定</w:t>
      </w:r>
    </w:p>
    <w:p w14:paraId="2B755B6E">
      <w:pPr>
        <w:pStyle w:val="2"/>
        <w:spacing w:before="161" w:line="228" w:lineRule="auto"/>
        <w:ind w:left="38"/>
      </w:pPr>
      <w:r>
        <w:rPr>
          <w:spacing w:val="6"/>
        </w:rPr>
        <w:t>1.乙方开具发票交付给甲方。</w:t>
      </w:r>
    </w:p>
    <w:p w14:paraId="178699F9">
      <w:pPr>
        <w:pStyle w:val="2"/>
        <w:spacing w:before="122" w:line="228" w:lineRule="auto"/>
        <w:ind w:left="26"/>
      </w:pPr>
      <w:r>
        <w:rPr>
          <w:rFonts w:hint="eastAsia"/>
          <w:spacing w:val="8"/>
          <w:lang w:val="en-US" w:eastAsia="zh-CN"/>
        </w:rPr>
        <w:t>2</w:t>
      </w:r>
      <w:r>
        <w:rPr>
          <w:spacing w:val="8"/>
        </w:rPr>
        <w:t>.乙方审核所产生的差旅费（包括交通、住宿及工作期间餐饮的费用）由甲方承担，按实际支出实报实销。</w:t>
      </w:r>
    </w:p>
    <w:p w14:paraId="29B971EF">
      <w:pPr>
        <w:pStyle w:val="2"/>
        <w:spacing w:before="113" w:line="280" w:lineRule="auto"/>
        <w:ind w:left="442" w:right="71" w:hanging="421"/>
      </w:pPr>
      <w:r>
        <w:rPr>
          <w:rFonts w:hint="eastAsia"/>
          <w:spacing w:val="10"/>
          <w:lang w:val="en-US" w:eastAsia="zh-CN"/>
        </w:rPr>
        <w:t>3</w:t>
      </w:r>
      <w:r>
        <w:rPr>
          <w:spacing w:val="10"/>
        </w:rPr>
        <w:t>.由于现场审核未通过而导致的额外的现</w:t>
      </w:r>
      <w:r>
        <w:rPr>
          <w:spacing w:val="9"/>
        </w:rPr>
        <w:t>场跟踪审核，应按照本合同第五条第三款规定进行处理，审核费在乙</w:t>
      </w:r>
      <w:r>
        <w:rPr>
          <w:spacing w:val="8"/>
        </w:rPr>
        <w:t>方进入现场前一周一次性支付。</w:t>
      </w:r>
    </w:p>
    <w:p w14:paraId="5822AB5F">
      <w:pPr>
        <w:pStyle w:val="2"/>
        <w:spacing w:before="94" w:line="347" w:lineRule="auto"/>
        <w:ind w:right="71" w:firstLine="218" w:firstLineChars="100"/>
      </w:pPr>
      <w:r>
        <w:rPr>
          <w:spacing w:val="9"/>
        </w:rPr>
        <w:t>甲方未能按照合同约定的时间和金额支付给乙方认证费用，应按照本合同第六条第一、第二款的规定支付滞</w:t>
      </w:r>
      <w:r>
        <w:rPr>
          <w:spacing w:val="2"/>
        </w:rPr>
        <w:t>纳金。</w:t>
      </w:r>
    </w:p>
    <w:tbl>
      <w:tblPr>
        <w:tblStyle w:val="9"/>
        <w:tblW w:w="10284"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9"/>
        <w:gridCol w:w="2691"/>
        <w:gridCol w:w="6034"/>
      </w:tblGrid>
      <w:tr w14:paraId="47321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559" w:type="dxa"/>
            <w:tcBorders>
              <w:top w:val="single" w:color="000000" w:sz="4" w:space="0"/>
            </w:tcBorders>
            <w:vAlign w:val="top"/>
          </w:tcPr>
          <w:p w14:paraId="48FC0116">
            <w:pPr>
              <w:pStyle w:val="8"/>
              <w:spacing w:before="123" w:line="228" w:lineRule="auto"/>
              <w:ind w:left="621"/>
              <w:rPr>
                <w:sz w:val="20"/>
                <w:szCs w:val="20"/>
              </w:rPr>
            </w:pPr>
            <w:r>
              <w:rPr>
                <w:spacing w:val="4"/>
                <w:sz w:val="20"/>
                <w:szCs w:val="20"/>
              </w:rPr>
              <w:t>类别</w:t>
            </w:r>
          </w:p>
        </w:tc>
        <w:tc>
          <w:tcPr>
            <w:tcW w:w="2691" w:type="dxa"/>
            <w:vAlign w:val="top"/>
          </w:tcPr>
          <w:p w14:paraId="69AAA314">
            <w:pPr>
              <w:pStyle w:val="8"/>
              <w:spacing w:before="179" w:line="228" w:lineRule="auto"/>
              <w:ind w:left="1038"/>
              <w:rPr>
                <w:sz w:val="20"/>
                <w:szCs w:val="20"/>
              </w:rPr>
            </w:pPr>
            <w:r>
              <w:rPr>
                <w:spacing w:val="-2"/>
                <w:sz w:val="20"/>
                <w:szCs w:val="20"/>
              </w:rPr>
              <w:t>项目</w:t>
            </w:r>
          </w:p>
        </w:tc>
        <w:tc>
          <w:tcPr>
            <w:tcW w:w="6034" w:type="dxa"/>
            <w:vAlign w:val="top"/>
          </w:tcPr>
          <w:p w14:paraId="2CD7BADB">
            <w:pPr>
              <w:pStyle w:val="8"/>
              <w:spacing w:before="179" w:line="228" w:lineRule="auto"/>
              <w:ind w:left="2356"/>
              <w:rPr>
                <w:sz w:val="20"/>
                <w:szCs w:val="20"/>
              </w:rPr>
            </w:pPr>
            <w:r>
              <w:rPr>
                <w:spacing w:val="1"/>
                <w:sz w:val="20"/>
                <w:szCs w:val="20"/>
              </w:rPr>
              <w:t>费用（元）</w:t>
            </w:r>
          </w:p>
        </w:tc>
      </w:tr>
      <w:tr w14:paraId="5ACF2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559" w:type="dxa"/>
            <w:vMerge w:val="restart"/>
            <w:tcBorders>
              <w:bottom w:val="nil"/>
            </w:tcBorders>
            <w:vAlign w:val="top"/>
          </w:tcPr>
          <w:p w14:paraId="12806E35">
            <w:pPr>
              <w:pStyle w:val="8"/>
              <w:spacing w:before="301" w:line="464" w:lineRule="auto"/>
              <w:ind w:right="311"/>
              <w:rPr>
                <w:spacing w:val="-1"/>
                <w:sz w:val="20"/>
                <w:szCs w:val="20"/>
              </w:rPr>
            </w:pPr>
            <w:permStart w:id="4" w:edGrp="everyone"/>
            <w:r>
              <w:rPr>
                <w:rFonts w:hint="eastAsia"/>
                <w:spacing w:val="2"/>
                <w:sz w:val="20"/>
                <w:szCs w:val="20"/>
                <w:lang w:eastAsia="zh-CN"/>
              </w:rPr>
              <w:t>□</w:t>
            </w:r>
            <w:r>
              <w:rPr>
                <w:spacing w:val="-1"/>
                <w:sz w:val="20"/>
                <w:szCs w:val="20"/>
              </w:rPr>
              <w:t>初评</w:t>
            </w:r>
          </w:p>
          <w:permEnd w:id="4"/>
          <w:p w14:paraId="3BD8A43D">
            <w:pPr>
              <w:pStyle w:val="8"/>
              <w:spacing w:before="301" w:line="464" w:lineRule="auto"/>
              <w:ind w:right="311"/>
              <w:rPr>
                <w:sz w:val="20"/>
                <w:szCs w:val="20"/>
              </w:rPr>
            </w:pPr>
            <w:permStart w:id="5" w:edGrp="everyone"/>
            <w:r>
              <w:rPr>
                <w:rFonts w:hint="eastAsia"/>
                <w:spacing w:val="2"/>
                <w:sz w:val="20"/>
                <w:szCs w:val="20"/>
                <w:lang w:eastAsia="zh-CN"/>
              </w:rPr>
              <w:t>□</w:t>
            </w:r>
            <w:r>
              <w:rPr>
                <w:spacing w:val="2"/>
                <w:sz w:val="20"/>
                <w:szCs w:val="20"/>
              </w:rPr>
              <w:t>再认证</w:t>
            </w:r>
            <w:permEnd w:id="5"/>
          </w:p>
        </w:tc>
        <w:tc>
          <w:tcPr>
            <w:tcW w:w="2691" w:type="dxa"/>
            <w:vAlign w:val="top"/>
          </w:tcPr>
          <w:p w14:paraId="7A6DDB78">
            <w:pPr>
              <w:pStyle w:val="8"/>
              <w:spacing w:before="173" w:line="228" w:lineRule="auto"/>
              <w:ind w:left="457"/>
            </w:pPr>
            <w:r>
              <w:t>注册审核费</w:t>
            </w:r>
          </w:p>
        </w:tc>
        <w:tc>
          <w:tcPr>
            <w:tcW w:w="6034" w:type="dxa"/>
            <w:vAlign w:val="top"/>
          </w:tcPr>
          <w:p w14:paraId="3E3936A8">
            <w:pPr>
              <w:pStyle w:val="8"/>
              <w:spacing w:before="173" w:line="228" w:lineRule="auto"/>
              <w:ind w:left="457"/>
              <w:rPr>
                <w:rFonts w:hint="default" w:eastAsia="宋体"/>
                <w:lang w:val="en-US" w:eastAsia="zh-CN"/>
              </w:rPr>
            </w:pPr>
            <w:r>
              <w:rPr>
                <w:rFonts w:hint="eastAsia"/>
                <w:lang w:val="en-US" w:eastAsia="zh-CN"/>
              </w:rPr>
              <w:t xml:space="preserve"> </w:t>
            </w:r>
            <w:permStart w:id="6" w:edGrp="everyone"/>
            <w:r>
              <w:rPr>
                <w:rFonts w:hint="eastAsia"/>
                <w:lang w:val="en-US" w:eastAsia="zh-CN"/>
              </w:rPr>
              <w:t xml:space="preserve">                             </w:t>
            </w:r>
            <w:permEnd w:id="6"/>
            <w:r>
              <w:rPr>
                <w:rFonts w:hint="eastAsia"/>
                <w:lang w:val="en-US" w:eastAsia="zh-CN"/>
              </w:rPr>
              <w:t xml:space="preserve">                    </w:t>
            </w:r>
          </w:p>
        </w:tc>
      </w:tr>
      <w:tr w14:paraId="6F45B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559" w:type="dxa"/>
            <w:vMerge w:val="continue"/>
            <w:tcBorders>
              <w:top w:val="nil"/>
            </w:tcBorders>
            <w:vAlign w:val="top"/>
          </w:tcPr>
          <w:p w14:paraId="4038D8A7">
            <w:pPr>
              <w:rPr>
                <w:rFonts w:ascii="Arial"/>
                <w:sz w:val="21"/>
              </w:rPr>
            </w:pPr>
          </w:p>
        </w:tc>
        <w:tc>
          <w:tcPr>
            <w:tcW w:w="8725" w:type="dxa"/>
            <w:gridSpan w:val="2"/>
            <w:vAlign w:val="top"/>
          </w:tcPr>
          <w:p w14:paraId="431FE4EE">
            <w:pPr>
              <w:pStyle w:val="8"/>
              <w:spacing w:before="191" w:line="324" w:lineRule="auto"/>
              <w:ind w:left="110" w:right="199"/>
            </w:pPr>
            <w:r>
              <w:t>双方约定：1、合同签订后一周内支付合同金额的50%；2、审核活动结束后7天内，甲方</w:t>
            </w:r>
            <w:r>
              <w:rPr>
                <w:spacing w:val="-1"/>
              </w:rPr>
              <w:t>应支付其余50%的注册审核费，乙方确认收到所有费用后方颁发认证证书。</w:t>
            </w:r>
          </w:p>
        </w:tc>
      </w:tr>
      <w:tr w14:paraId="7F2DF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559" w:type="dxa"/>
            <w:vMerge w:val="restart"/>
            <w:tcBorders>
              <w:bottom w:val="nil"/>
            </w:tcBorders>
            <w:vAlign w:val="top"/>
          </w:tcPr>
          <w:p w14:paraId="749D4273">
            <w:pPr>
              <w:spacing w:line="303" w:lineRule="auto"/>
              <w:rPr>
                <w:rFonts w:ascii="Arial"/>
                <w:sz w:val="21"/>
              </w:rPr>
            </w:pPr>
          </w:p>
          <w:p w14:paraId="315531E4">
            <w:pPr>
              <w:pStyle w:val="8"/>
              <w:spacing w:before="65" w:line="228" w:lineRule="auto"/>
              <w:rPr>
                <w:sz w:val="20"/>
                <w:szCs w:val="20"/>
              </w:rPr>
            </w:pPr>
            <w:r>
              <w:rPr>
                <w:spacing w:val="7"/>
                <w:sz w:val="20"/>
                <w:szCs w:val="20"/>
              </w:rPr>
              <w:t>监督审核</w:t>
            </w:r>
          </w:p>
        </w:tc>
        <w:tc>
          <w:tcPr>
            <w:tcW w:w="2691" w:type="dxa"/>
            <w:vAlign w:val="top"/>
          </w:tcPr>
          <w:p w14:paraId="02BAB44E">
            <w:pPr>
              <w:pStyle w:val="8"/>
              <w:spacing w:before="173" w:line="228" w:lineRule="auto"/>
              <w:ind w:left="457"/>
            </w:pPr>
            <w:r>
              <w:t>监督审核认证费/次</w:t>
            </w:r>
          </w:p>
        </w:tc>
        <w:tc>
          <w:tcPr>
            <w:tcW w:w="6034" w:type="dxa"/>
            <w:vAlign w:val="top"/>
          </w:tcPr>
          <w:p w14:paraId="36D99E06">
            <w:pPr>
              <w:pStyle w:val="8"/>
              <w:spacing w:before="173" w:line="228" w:lineRule="auto"/>
              <w:ind w:left="457"/>
              <w:rPr>
                <w:rFonts w:hint="default" w:eastAsia="宋体"/>
                <w:lang w:val="en-US" w:eastAsia="zh-CN"/>
              </w:rPr>
            </w:pPr>
            <w:r>
              <w:rPr>
                <w:rFonts w:hint="eastAsia"/>
                <w:lang w:val="en-US" w:eastAsia="zh-CN"/>
              </w:rPr>
              <w:t xml:space="preserve">  </w:t>
            </w:r>
            <w:permStart w:id="7" w:edGrp="everyone"/>
            <w:r>
              <w:rPr>
                <w:rFonts w:hint="eastAsia"/>
                <w:lang w:val="en-US" w:eastAsia="zh-CN"/>
              </w:rPr>
              <w:t xml:space="preserve">                           </w:t>
            </w:r>
            <w:permEnd w:id="7"/>
            <w:r>
              <w:rPr>
                <w:rFonts w:hint="eastAsia"/>
                <w:lang w:val="en-US" w:eastAsia="zh-CN"/>
              </w:rPr>
              <w:t xml:space="preserve">               </w:t>
            </w:r>
          </w:p>
        </w:tc>
      </w:tr>
      <w:tr w14:paraId="06126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559" w:type="dxa"/>
            <w:vMerge w:val="continue"/>
            <w:tcBorders>
              <w:top w:val="nil"/>
            </w:tcBorders>
            <w:vAlign w:val="top"/>
          </w:tcPr>
          <w:p w14:paraId="5584E7A8">
            <w:pPr>
              <w:rPr>
                <w:rFonts w:ascii="Arial"/>
                <w:sz w:val="21"/>
              </w:rPr>
            </w:pPr>
          </w:p>
        </w:tc>
        <w:tc>
          <w:tcPr>
            <w:tcW w:w="8725" w:type="dxa"/>
            <w:gridSpan w:val="2"/>
            <w:vAlign w:val="top"/>
          </w:tcPr>
          <w:p w14:paraId="48A53565">
            <w:pPr>
              <w:pStyle w:val="8"/>
              <w:spacing w:before="169" w:line="219" w:lineRule="auto"/>
              <w:ind w:left="110"/>
            </w:pPr>
            <w:r>
              <w:t>双方约定：每次监督审核前一周内一次性支付全部费用。乙方确认收到所有</w:t>
            </w:r>
            <w:r>
              <w:rPr>
                <w:spacing w:val="-1"/>
              </w:rPr>
              <w:t>费用后方安排审核。</w:t>
            </w:r>
          </w:p>
        </w:tc>
      </w:tr>
    </w:tbl>
    <w:p w14:paraId="5C53812F">
      <w:pPr>
        <w:pStyle w:val="2"/>
        <w:spacing w:before="91" w:line="227" w:lineRule="auto"/>
        <w:ind w:left="22"/>
        <w:outlineLvl w:val="1"/>
      </w:pPr>
      <w:r>
        <w:rPr>
          <w:b/>
          <w:bCs/>
          <w:spacing w:val="1"/>
        </w:rPr>
        <w:t>第十条附则</w:t>
      </w:r>
    </w:p>
    <w:p w14:paraId="34D45F5C">
      <w:pPr>
        <w:pStyle w:val="2"/>
        <w:spacing w:before="176" w:line="310" w:lineRule="auto"/>
        <w:ind w:left="617" w:right="46" w:hanging="266"/>
        <w:rPr>
          <w:sz w:val="18"/>
          <w:szCs w:val="18"/>
        </w:rPr>
      </w:pPr>
      <w:r>
        <w:rPr>
          <w:sz w:val="18"/>
          <w:szCs w:val="18"/>
        </w:rPr>
        <w:t>1.本合同一式贰份，甲、乙双方各执一份。自甲乙双方签字、盖章之日起生效。本合同生效后以往其它同一认证项目的认证合同一律作废。</w:t>
      </w:r>
    </w:p>
    <w:p w14:paraId="65C7BDAE">
      <w:pPr>
        <w:pStyle w:val="2"/>
        <w:spacing w:before="176" w:line="310" w:lineRule="auto"/>
        <w:ind w:left="617" w:right="46" w:hanging="266"/>
        <w:rPr>
          <w:sz w:val="18"/>
          <w:szCs w:val="18"/>
        </w:rPr>
      </w:pPr>
      <w:r>
        <w:rPr>
          <w:sz w:val="18"/>
          <w:szCs w:val="18"/>
        </w:rPr>
        <w:t>2.本合同及合同附件，经甲乙双方签字、盖章后生成的彩色扫描件或彩色照片，与原件具有同等效力。</w:t>
      </w:r>
    </w:p>
    <w:p w14:paraId="6027056C">
      <w:pPr>
        <w:pStyle w:val="2"/>
        <w:spacing w:before="176" w:line="310" w:lineRule="auto"/>
        <w:ind w:left="617" w:right="46" w:hanging="266"/>
        <w:rPr>
          <w:sz w:val="18"/>
          <w:szCs w:val="18"/>
        </w:rPr>
      </w:pPr>
      <w:r>
        <w:rPr>
          <w:sz w:val="18"/>
          <w:szCs w:val="18"/>
        </w:rPr>
        <w:t>3.《</w:t>
      </w:r>
      <w:r>
        <w:rPr>
          <w:rFonts w:hint="eastAsia"/>
          <w:sz w:val="18"/>
          <w:szCs w:val="18"/>
          <w:lang w:eastAsia="zh-CN"/>
        </w:rPr>
        <w:t>华钰检测</w:t>
      </w:r>
      <w:r>
        <w:rPr>
          <w:sz w:val="18"/>
          <w:szCs w:val="18"/>
        </w:rPr>
        <w:t>认证管理体系认证申请表》作为合同附件，效力与本合同一致；乙方根据甲方申请的信息策划、安排审核活动，但最终的认证范围及证书的信息以乙方的合格评定结论为准。</w:t>
      </w:r>
    </w:p>
    <w:p w14:paraId="35A53BBE">
      <w:pPr>
        <w:pStyle w:val="2"/>
        <w:spacing w:before="176" w:line="310" w:lineRule="auto"/>
        <w:ind w:left="617" w:right="46" w:hanging="266"/>
        <w:rPr>
          <w:sz w:val="18"/>
          <w:szCs w:val="18"/>
        </w:rPr>
      </w:pPr>
      <w:r>
        <w:rPr>
          <w:sz w:val="18"/>
          <w:szCs w:val="18"/>
        </w:rPr>
        <w:t>4.相应的管理体系认证证书及标识的使用规则是本合同的附件，效力与本合同一致。</w:t>
      </w:r>
    </w:p>
    <w:p w14:paraId="61E1170F">
      <w:pPr>
        <w:pStyle w:val="2"/>
        <w:spacing w:before="176" w:line="310" w:lineRule="auto"/>
        <w:ind w:left="617" w:right="46" w:hanging="266"/>
        <w:rPr>
          <w:sz w:val="18"/>
          <w:szCs w:val="1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927"/>
        <w:gridCol w:w="4927"/>
      </w:tblGrid>
      <w:tr w14:paraId="5357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Borders>
              <w:top w:val="nil"/>
              <w:left w:val="nil"/>
              <w:bottom w:val="nil"/>
              <w:right w:val="nil"/>
            </w:tcBorders>
            <w:vAlign w:val="center"/>
          </w:tcPr>
          <w:p w14:paraId="3ECB0E34">
            <w:pPr>
              <w:spacing w:line="360" w:lineRule="auto"/>
              <w:jc w:val="both"/>
              <w:rPr>
                <w:rFonts w:hint="eastAsia" w:eastAsia="宋体"/>
                <w:sz w:val="22"/>
                <w:szCs w:val="22"/>
                <w:vertAlign w:val="baseline"/>
                <w:lang w:val="en-US" w:eastAsia="zh-CN"/>
              </w:rPr>
            </w:pPr>
            <w:r>
              <w:rPr>
                <w:rFonts w:hint="eastAsia" w:eastAsia="宋体"/>
                <w:sz w:val="22"/>
                <w:szCs w:val="22"/>
                <w:vertAlign w:val="baseline"/>
                <w:lang w:val="en-US" w:eastAsia="zh-CN"/>
              </w:rPr>
              <w:t>甲方</w:t>
            </w:r>
          </w:p>
        </w:tc>
        <w:tc>
          <w:tcPr>
            <w:tcW w:w="4927" w:type="dxa"/>
            <w:tcBorders>
              <w:top w:val="nil"/>
              <w:left w:val="nil"/>
              <w:bottom w:val="nil"/>
              <w:right w:val="nil"/>
            </w:tcBorders>
            <w:vAlign w:val="center"/>
          </w:tcPr>
          <w:p w14:paraId="1ABCF67B">
            <w:pPr>
              <w:spacing w:line="360" w:lineRule="auto"/>
              <w:jc w:val="both"/>
              <w:rPr>
                <w:rFonts w:hint="eastAsia" w:eastAsia="宋体"/>
                <w:sz w:val="22"/>
                <w:szCs w:val="22"/>
                <w:vertAlign w:val="baseline"/>
                <w:lang w:val="en-US" w:eastAsia="zh-CN"/>
              </w:rPr>
            </w:pPr>
            <w:r>
              <w:rPr>
                <w:rFonts w:hint="eastAsia" w:eastAsia="宋体"/>
                <w:sz w:val="22"/>
                <w:szCs w:val="22"/>
                <w:vertAlign w:val="baseline"/>
                <w:lang w:val="en-US" w:eastAsia="zh-CN"/>
              </w:rPr>
              <w:t>乙方</w:t>
            </w:r>
          </w:p>
        </w:tc>
      </w:tr>
      <w:tr w14:paraId="45F4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7" w:type="dxa"/>
            <w:tcBorders>
              <w:top w:val="nil"/>
              <w:left w:val="nil"/>
              <w:bottom w:val="nil"/>
              <w:right w:val="nil"/>
            </w:tcBorders>
            <w:vAlign w:val="center"/>
          </w:tcPr>
          <w:p w14:paraId="6EE2FAAF">
            <w:pPr>
              <w:spacing w:line="360" w:lineRule="auto"/>
              <w:jc w:val="both"/>
              <w:rPr>
                <w:rFonts w:hint="eastAsia" w:eastAsia="宋体"/>
                <w:sz w:val="22"/>
                <w:szCs w:val="22"/>
                <w:vertAlign w:val="baseline"/>
                <w:lang w:val="en-US" w:eastAsia="zh-CN"/>
              </w:rPr>
            </w:pPr>
            <w:r>
              <w:rPr>
                <w:rFonts w:hint="eastAsia" w:eastAsia="宋体"/>
                <w:sz w:val="22"/>
                <w:szCs w:val="22"/>
                <w:vertAlign w:val="baseline"/>
                <w:lang w:val="en-US" w:eastAsia="zh-CN"/>
              </w:rPr>
              <w:t>地  址：</w:t>
            </w:r>
            <w:permStart w:id="8" w:edGrp="everyone"/>
            <w:r>
              <w:rPr>
                <w:rFonts w:hint="eastAsia" w:eastAsia="宋体"/>
                <w:sz w:val="22"/>
                <w:szCs w:val="22"/>
                <w:u w:val="single"/>
                <w:vertAlign w:val="baseline"/>
                <w:lang w:val="en-US" w:eastAsia="zh-CN"/>
              </w:rPr>
              <w:t xml:space="preserve">                         </w:t>
            </w:r>
            <w:permEnd w:id="8"/>
          </w:p>
        </w:tc>
        <w:tc>
          <w:tcPr>
            <w:tcW w:w="4927" w:type="dxa"/>
            <w:tcBorders>
              <w:top w:val="nil"/>
              <w:left w:val="nil"/>
              <w:bottom w:val="nil"/>
              <w:right w:val="nil"/>
            </w:tcBorders>
            <w:vAlign w:val="center"/>
          </w:tcPr>
          <w:p w14:paraId="0774E0E9">
            <w:pPr>
              <w:spacing w:line="360" w:lineRule="auto"/>
              <w:jc w:val="both"/>
              <w:rPr>
                <w:rFonts w:hint="eastAsia" w:eastAsia="宋体"/>
                <w:sz w:val="22"/>
                <w:szCs w:val="22"/>
                <w:vertAlign w:val="baseline"/>
                <w:lang w:val="en-US" w:eastAsia="zh-CN"/>
              </w:rPr>
            </w:pPr>
            <w:r>
              <w:rPr>
                <w:rFonts w:hint="eastAsia" w:eastAsia="宋体"/>
                <w:sz w:val="22"/>
                <w:szCs w:val="22"/>
                <w:vertAlign w:val="baseline"/>
                <w:lang w:val="en-US" w:eastAsia="zh-CN"/>
              </w:rPr>
              <w:t>地址：</w:t>
            </w:r>
            <w:r>
              <w:rPr>
                <w:rFonts w:hint="eastAsia" w:eastAsia="宋体"/>
                <w:sz w:val="22"/>
                <w:szCs w:val="22"/>
                <w:u w:val="single"/>
                <w:vertAlign w:val="baseline"/>
                <w:lang w:val="en-US" w:eastAsia="zh-CN"/>
              </w:rPr>
              <w:t>苏州工业园区苏虹东路155号7幢3116室</w:t>
            </w:r>
          </w:p>
        </w:tc>
      </w:tr>
      <w:tr w14:paraId="3795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Borders>
              <w:top w:val="nil"/>
              <w:left w:val="nil"/>
              <w:bottom w:val="nil"/>
              <w:right w:val="nil"/>
            </w:tcBorders>
            <w:vAlign w:val="center"/>
          </w:tcPr>
          <w:p w14:paraId="3FD447C7">
            <w:pPr>
              <w:spacing w:line="360" w:lineRule="auto"/>
              <w:jc w:val="both"/>
              <w:rPr>
                <w:rFonts w:hint="eastAsia" w:eastAsia="宋体"/>
                <w:sz w:val="22"/>
                <w:szCs w:val="22"/>
                <w:vertAlign w:val="baseline"/>
                <w:lang w:val="en-US" w:eastAsia="zh-CN"/>
              </w:rPr>
            </w:pPr>
            <w:r>
              <w:rPr>
                <w:rFonts w:hint="eastAsia" w:eastAsia="宋体"/>
                <w:sz w:val="22"/>
                <w:szCs w:val="22"/>
                <w:vertAlign w:val="baseline"/>
                <w:lang w:val="en-US" w:eastAsia="zh-CN"/>
              </w:rPr>
              <w:t>联系人：</w:t>
            </w:r>
            <w:permStart w:id="9" w:edGrp="everyone"/>
            <w:r>
              <w:rPr>
                <w:rFonts w:hint="eastAsia" w:eastAsia="宋体"/>
                <w:sz w:val="22"/>
                <w:szCs w:val="22"/>
                <w:u w:val="single"/>
                <w:vertAlign w:val="baseline"/>
                <w:lang w:val="en-US" w:eastAsia="zh-CN"/>
              </w:rPr>
              <w:t xml:space="preserve">                         </w:t>
            </w:r>
            <w:permEnd w:id="9"/>
          </w:p>
        </w:tc>
        <w:tc>
          <w:tcPr>
            <w:tcW w:w="4927" w:type="dxa"/>
            <w:tcBorders>
              <w:top w:val="nil"/>
              <w:left w:val="nil"/>
              <w:bottom w:val="nil"/>
              <w:right w:val="nil"/>
            </w:tcBorders>
            <w:vAlign w:val="center"/>
          </w:tcPr>
          <w:p w14:paraId="0AE4256A">
            <w:pPr>
              <w:spacing w:line="360" w:lineRule="auto"/>
              <w:jc w:val="both"/>
              <w:rPr>
                <w:rFonts w:hint="eastAsia" w:eastAsia="宋体"/>
                <w:sz w:val="22"/>
                <w:szCs w:val="22"/>
                <w:vertAlign w:val="baseline"/>
                <w:lang w:val="en-US" w:eastAsia="zh-CN"/>
              </w:rPr>
            </w:pPr>
            <w:r>
              <w:rPr>
                <w:rFonts w:hint="eastAsia" w:eastAsia="宋体"/>
                <w:sz w:val="22"/>
                <w:szCs w:val="22"/>
                <w:vertAlign w:val="baseline"/>
                <w:lang w:val="en-US" w:eastAsia="zh-CN"/>
              </w:rPr>
              <w:t>网址：</w:t>
            </w:r>
            <w:r>
              <w:rPr>
                <w:rFonts w:hint="eastAsia" w:eastAsia="宋体"/>
                <w:sz w:val="22"/>
                <w:szCs w:val="22"/>
                <w:u w:val="single"/>
                <w:vertAlign w:val="baseline"/>
                <w:lang w:val="en-US" w:eastAsia="zh-CN"/>
              </w:rPr>
              <w:t xml:space="preserve"> www.isoxf.com    </w:t>
            </w:r>
          </w:p>
        </w:tc>
      </w:tr>
      <w:tr w14:paraId="0E1F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Borders>
              <w:top w:val="nil"/>
              <w:left w:val="nil"/>
              <w:bottom w:val="nil"/>
              <w:right w:val="nil"/>
            </w:tcBorders>
            <w:vAlign w:val="center"/>
          </w:tcPr>
          <w:p w14:paraId="2C25D6F3">
            <w:pPr>
              <w:spacing w:line="360" w:lineRule="auto"/>
              <w:jc w:val="both"/>
              <w:rPr>
                <w:rFonts w:hint="default" w:eastAsia="宋体"/>
                <w:sz w:val="22"/>
                <w:szCs w:val="22"/>
                <w:u w:val="single"/>
                <w:vertAlign w:val="baseline"/>
                <w:lang w:val="en-US" w:eastAsia="zh-CN"/>
              </w:rPr>
            </w:pPr>
            <w:r>
              <w:rPr>
                <w:rFonts w:hint="eastAsia" w:eastAsia="宋体"/>
                <w:sz w:val="22"/>
                <w:szCs w:val="22"/>
                <w:vertAlign w:val="baseline"/>
                <w:lang w:val="en-US" w:eastAsia="zh-CN"/>
              </w:rPr>
              <w:t>电  话：</w:t>
            </w:r>
            <w:permStart w:id="10" w:edGrp="everyone"/>
            <w:r>
              <w:rPr>
                <w:rFonts w:hint="eastAsia" w:eastAsia="宋体"/>
                <w:sz w:val="22"/>
                <w:szCs w:val="22"/>
                <w:u w:val="single"/>
                <w:vertAlign w:val="baseline"/>
                <w:lang w:val="en-US" w:eastAsia="zh-CN"/>
              </w:rPr>
              <w:t xml:space="preserve">                         </w:t>
            </w:r>
            <w:permEnd w:id="10"/>
          </w:p>
        </w:tc>
        <w:tc>
          <w:tcPr>
            <w:tcW w:w="4927" w:type="dxa"/>
            <w:tcBorders>
              <w:top w:val="nil"/>
              <w:left w:val="nil"/>
              <w:bottom w:val="nil"/>
              <w:right w:val="nil"/>
            </w:tcBorders>
            <w:vAlign w:val="center"/>
          </w:tcPr>
          <w:p w14:paraId="6BCC45DE">
            <w:pPr>
              <w:spacing w:line="360" w:lineRule="auto"/>
              <w:jc w:val="both"/>
              <w:rPr>
                <w:rFonts w:hint="eastAsia" w:eastAsia="宋体"/>
                <w:sz w:val="22"/>
                <w:szCs w:val="22"/>
                <w:vertAlign w:val="baseline"/>
                <w:lang w:val="en-US" w:eastAsia="zh-CN"/>
              </w:rPr>
            </w:pPr>
            <w:r>
              <w:rPr>
                <w:rFonts w:hint="eastAsia" w:eastAsia="宋体"/>
                <w:sz w:val="22"/>
                <w:szCs w:val="22"/>
                <w:vertAlign w:val="baseline"/>
                <w:lang w:val="en-US" w:eastAsia="zh-CN"/>
              </w:rPr>
              <w:t>电话：</w:t>
            </w:r>
            <w:r>
              <w:rPr>
                <w:rFonts w:hint="eastAsia" w:eastAsia="宋体"/>
                <w:sz w:val="22"/>
                <w:szCs w:val="22"/>
                <w:u w:val="single"/>
                <w:vertAlign w:val="baseline"/>
                <w:lang w:val="en-US" w:eastAsia="zh-CN"/>
              </w:rPr>
              <w:t xml:space="preserve"> </w:t>
            </w:r>
            <w:r>
              <w:rPr>
                <w:rFonts w:hint="eastAsia" w:eastAsia="宋体"/>
                <w:sz w:val="22"/>
                <w:szCs w:val="22"/>
                <w:u w:val="single"/>
                <w:vertAlign w:val="baseline"/>
                <w:lang w:val="en-US" w:eastAsia="zh-CN"/>
              </w:rPr>
              <w:t xml:space="preserve">0512-68567686 </w:t>
            </w:r>
            <w:r>
              <w:rPr>
                <w:rFonts w:hint="eastAsia" w:eastAsia="宋体"/>
                <w:sz w:val="22"/>
                <w:szCs w:val="22"/>
                <w:u w:val="single"/>
                <w:vertAlign w:val="baseline"/>
                <w:lang w:val="en-US" w:eastAsia="zh-CN"/>
              </w:rPr>
              <w:t xml:space="preserve">  </w:t>
            </w:r>
          </w:p>
        </w:tc>
      </w:tr>
      <w:tr w14:paraId="6D91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Borders>
              <w:top w:val="nil"/>
              <w:left w:val="nil"/>
              <w:bottom w:val="nil"/>
              <w:right w:val="nil"/>
            </w:tcBorders>
            <w:vAlign w:val="center"/>
          </w:tcPr>
          <w:p w14:paraId="503036D5">
            <w:pPr>
              <w:spacing w:line="360" w:lineRule="auto"/>
              <w:jc w:val="both"/>
              <w:rPr>
                <w:rFonts w:hint="default" w:eastAsia="宋体"/>
                <w:sz w:val="22"/>
                <w:szCs w:val="22"/>
                <w:vertAlign w:val="baseline"/>
                <w:lang w:val="en-US" w:eastAsia="zh-CN"/>
              </w:rPr>
            </w:pPr>
            <w:r>
              <w:rPr>
                <w:rFonts w:hint="eastAsia" w:eastAsia="宋体"/>
                <w:sz w:val="22"/>
                <w:szCs w:val="22"/>
                <w:vertAlign w:val="baseline"/>
                <w:lang w:val="en-US" w:eastAsia="zh-CN"/>
              </w:rPr>
              <w:t>法定代表人或委托人（签章）：</w:t>
            </w:r>
          </w:p>
        </w:tc>
        <w:tc>
          <w:tcPr>
            <w:tcW w:w="4927" w:type="dxa"/>
            <w:tcBorders>
              <w:top w:val="nil"/>
              <w:left w:val="nil"/>
              <w:bottom w:val="nil"/>
              <w:right w:val="nil"/>
            </w:tcBorders>
            <w:vAlign w:val="center"/>
          </w:tcPr>
          <w:p w14:paraId="36A45D95">
            <w:pPr>
              <w:spacing w:line="360" w:lineRule="auto"/>
              <w:jc w:val="both"/>
              <w:rPr>
                <w:sz w:val="22"/>
                <w:szCs w:val="22"/>
                <w:vertAlign w:val="baseline"/>
              </w:rPr>
            </w:pPr>
            <w:r>
              <w:rPr>
                <w:rFonts w:hint="eastAsia" w:eastAsia="宋体"/>
                <w:sz w:val="22"/>
                <w:szCs w:val="22"/>
                <w:vertAlign w:val="baseline"/>
                <w:lang w:val="en-US" w:eastAsia="zh-CN"/>
              </w:rPr>
              <w:t>法定代表人或委托人（签章）：</w:t>
            </w:r>
          </w:p>
        </w:tc>
      </w:tr>
      <w:tr w14:paraId="390F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7" w:type="dxa"/>
            <w:tcBorders>
              <w:top w:val="nil"/>
              <w:left w:val="nil"/>
              <w:bottom w:val="nil"/>
              <w:right w:val="nil"/>
            </w:tcBorders>
            <w:vAlign w:val="center"/>
          </w:tcPr>
          <w:p w14:paraId="64779E7A">
            <w:pPr>
              <w:spacing w:line="360" w:lineRule="auto"/>
              <w:jc w:val="both"/>
              <w:rPr>
                <w:rFonts w:hint="default" w:eastAsia="宋体"/>
                <w:sz w:val="28"/>
                <w:szCs w:val="28"/>
                <w:u w:val="single"/>
                <w:vertAlign w:val="baseline"/>
                <w:lang w:val="en-US" w:eastAsia="zh-CN"/>
              </w:rPr>
            </w:pPr>
            <w:r>
              <w:rPr>
                <w:rFonts w:hint="eastAsia" w:eastAsia="宋体"/>
                <w:sz w:val="28"/>
                <w:szCs w:val="28"/>
                <w:u w:val="single"/>
                <w:vertAlign w:val="baseline"/>
                <w:lang w:val="en-US" w:eastAsia="zh-CN"/>
              </w:rPr>
              <w:t xml:space="preserve">    </w:t>
            </w:r>
            <w:permStart w:id="11" w:edGrp="everyone"/>
            <w:r>
              <w:rPr>
                <w:rFonts w:hint="eastAsia" w:eastAsia="宋体"/>
                <w:sz w:val="28"/>
                <w:szCs w:val="28"/>
                <w:u w:val="single"/>
                <w:vertAlign w:val="baseline"/>
                <w:lang w:val="en-US" w:eastAsia="zh-CN"/>
              </w:rPr>
              <w:t xml:space="preserve">              </w:t>
            </w:r>
            <w:permEnd w:id="11"/>
            <w:r>
              <w:rPr>
                <w:rFonts w:hint="eastAsia" w:eastAsia="宋体"/>
                <w:sz w:val="28"/>
                <w:szCs w:val="28"/>
                <w:u w:val="single"/>
                <w:vertAlign w:val="baseline"/>
                <w:lang w:val="en-US" w:eastAsia="zh-CN"/>
              </w:rPr>
              <w:t xml:space="preserve">            </w:t>
            </w:r>
          </w:p>
        </w:tc>
        <w:tc>
          <w:tcPr>
            <w:tcW w:w="4927" w:type="dxa"/>
            <w:tcBorders>
              <w:top w:val="nil"/>
              <w:left w:val="nil"/>
              <w:bottom w:val="nil"/>
              <w:right w:val="nil"/>
            </w:tcBorders>
            <w:vAlign w:val="center"/>
          </w:tcPr>
          <w:p w14:paraId="195EAC86">
            <w:pPr>
              <w:spacing w:line="360" w:lineRule="auto"/>
              <w:jc w:val="both"/>
              <w:rPr>
                <w:rFonts w:hint="default" w:eastAsia="宋体"/>
                <w:sz w:val="28"/>
                <w:szCs w:val="28"/>
                <w:u w:val="single"/>
                <w:vertAlign w:val="baseline"/>
                <w:lang w:val="en-US" w:eastAsia="zh-CN"/>
              </w:rPr>
            </w:pPr>
            <w:r>
              <w:rPr>
                <w:rFonts w:hint="eastAsia" w:eastAsia="宋体"/>
                <w:sz w:val="28"/>
                <w:szCs w:val="28"/>
                <w:u w:val="single"/>
                <w:vertAlign w:val="baseline"/>
                <w:lang w:val="en-US" w:eastAsia="zh-CN"/>
              </w:rPr>
              <w:t xml:space="preserve">                          </w:t>
            </w:r>
          </w:p>
        </w:tc>
      </w:tr>
    </w:tbl>
    <w:p w14:paraId="16EFC6D7"/>
    <w:sectPr>
      <w:headerReference r:id="rId5" w:type="default"/>
      <w:footerReference r:id="rId6" w:type="default"/>
      <w:pgSz w:w="11906" w:h="16838"/>
      <w:pgMar w:top="1134" w:right="1134" w:bottom="1134" w:left="113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7EC8F">
    <w:pPr>
      <w:pStyle w:val="3"/>
      <w:tabs>
        <w:tab w:val="clear" w:pos="4153"/>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68C92F">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5C68C92F">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Times New Roman" w:hAnsi="Times New Roman" w:eastAsia="宋体" w:cs="Times New Roman"/>
        <w:spacing w:val="-2"/>
        <w:sz w:val="18"/>
        <w:szCs w:val="18"/>
        <w:lang w:val="en-US" w:eastAsia="zh-CN"/>
      </w:rPr>
      <w:t>HY</w:t>
    </w:r>
    <w:r>
      <w:rPr>
        <w:rFonts w:ascii="Times New Roman" w:hAnsi="Times New Roman" w:eastAsia="Times New Roman" w:cs="Times New Roman"/>
        <w:spacing w:val="-2"/>
        <w:sz w:val="18"/>
        <w:szCs w:val="18"/>
      </w:rPr>
      <w:t>MC001</w:t>
    </w:r>
    <w:r>
      <w:rPr>
        <w:rFonts w:hint="eastAsia" w:ascii="Times New Roman" w:hAnsi="Times New Roman" w:eastAsia="宋体" w:cs="Times New Roman"/>
        <w:spacing w:val="-2"/>
        <w:sz w:val="18"/>
        <w:szCs w:val="18"/>
        <w:lang w:val="en-US" w:eastAsia="zh-CN"/>
      </w:rPr>
      <w:t>A</w:t>
    </w:r>
    <w:r>
      <w:rPr>
        <w:rFonts w:ascii="Times New Roman" w:hAnsi="Times New Roman" w:eastAsia="Times New Roman" w:cs="Times New Roman"/>
        <w:spacing w:val="-2"/>
        <w:sz w:val="18"/>
        <w:szCs w:val="18"/>
      </w:rPr>
      <w:t xml:space="preserve">          </w:t>
    </w:r>
    <w:r>
      <w:rPr>
        <w:spacing w:val="-2"/>
        <w:sz w:val="18"/>
        <w:szCs w:val="18"/>
      </w:rPr>
      <w:t>第</w:t>
    </w:r>
    <w:r>
      <w:rPr>
        <w:spacing w:val="-24"/>
        <w:sz w:val="18"/>
        <w:szCs w:val="18"/>
      </w:rPr>
      <w:t xml:space="preserve"> </w:t>
    </w:r>
    <w:r>
      <w:rPr>
        <w:rFonts w:hint="eastAsia" w:ascii="Times New Roman" w:hAnsi="Times New Roman" w:eastAsia="宋体" w:cs="Times New Roman"/>
        <w:spacing w:val="-2"/>
        <w:sz w:val="18"/>
        <w:szCs w:val="18"/>
        <w:lang w:val="en-US" w:eastAsia="zh-CN"/>
      </w:rPr>
      <w:t>0</w:t>
    </w:r>
    <w:r>
      <w:rPr>
        <w:rFonts w:ascii="Times New Roman" w:hAnsi="Times New Roman" w:eastAsia="Times New Roman" w:cs="Times New Roman"/>
        <w:spacing w:val="12"/>
        <w:sz w:val="18"/>
        <w:szCs w:val="18"/>
      </w:rPr>
      <w:t xml:space="preserve"> </w:t>
    </w:r>
    <w:r>
      <w:rPr>
        <w:spacing w:val="-2"/>
        <w:sz w:val="18"/>
        <w:szCs w:val="18"/>
      </w:rPr>
      <w:t>次修订</w:t>
    </w:r>
    <w:r>
      <w:rPr>
        <w:rFonts w:hint="eastAsia" w:eastAsia="宋体"/>
        <w:spacing w:val="-2"/>
        <w:sz w:val="18"/>
        <w:szCs w:val="18"/>
        <w:lang w:eastAsia="zh-CN"/>
      </w:rPr>
      <w:tab/>
    </w:r>
    <w:r>
      <w:rPr>
        <w:rFonts w:hint="eastAsia" w:eastAsia="宋体"/>
        <w:spacing w:val="-2"/>
        <w:sz w:val="18"/>
        <w:szCs w:val="18"/>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8"/>
      <w:gridCol w:w="4506"/>
    </w:tblGrid>
    <w:tr w14:paraId="6A44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8" w:type="dxa"/>
          <w:tcBorders>
            <w:top w:val="nil"/>
            <w:left w:val="nil"/>
            <w:bottom w:val="nil"/>
            <w:right w:val="nil"/>
          </w:tcBorders>
          <w:vAlign w:val="bottom"/>
        </w:tcPr>
        <w:p w14:paraId="0F9E7600">
          <w:pPr>
            <w:pStyle w:val="4"/>
            <w:pBdr>
              <w:top w:val="none" w:color="auto" w:sz="0" w:space="0"/>
              <w:left w:val="none" w:color="auto" w:sz="0" w:space="0"/>
              <w:bottom w:val="none" w:color="auto" w:sz="0" w:space="0"/>
              <w:right w:val="none" w:color="auto" w:sz="0" w:space="0"/>
            </w:pBdr>
            <w:jc w:val="both"/>
            <w:rPr>
              <w:rFonts w:hint="eastAsia" w:eastAsia="宋体"/>
              <w:u w:val="none"/>
              <w:vertAlign w:val="baseline"/>
              <w:lang w:val="en-US" w:eastAsia="zh-CN"/>
            </w:rPr>
          </w:pPr>
          <w:r>
            <w:rPr>
              <w:rFonts w:hint="eastAsia"/>
              <w:b w:val="0"/>
              <w:bCs w:val="0"/>
              <w:sz w:val="28"/>
              <w:szCs w:val="36"/>
              <w:u w:val="none"/>
            </w:rPr>
            <w:t>华钰检测认证（江苏）有限公司</w:t>
          </w:r>
        </w:p>
      </w:tc>
      <w:tc>
        <w:tcPr>
          <w:tcW w:w="4506" w:type="dxa"/>
          <w:tcBorders>
            <w:top w:val="nil"/>
            <w:left w:val="nil"/>
            <w:bottom w:val="nil"/>
            <w:right w:val="nil"/>
          </w:tcBorders>
        </w:tcPr>
        <w:p w14:paraId="76759ACC">
          <w:pPr>
            <w:pStyle w:val="3"/>
            <w:pBdr>
              <w:bottom w:val="none" w:color="auto" w:sz="0" w:space="0"/>
            </w:pBdr>
            <w:tabs>
              <w:tab w:val="clear" w:pos="4153"/>
            </w:tabs>
            <w:ind w:left="5890" w:leftChars="0" w:hanging="5890" w:hangingChars="3347"/>
            <w:jc w:val="right"/>
            <w:rPr>
              <w:spacing w:val="-2"/>
              <w:sz w:val="18"/>
              <w:szCs w:val="18"/>
              <w:u w:val="none"/>
            </w:rPr>
          </w:pPr>
          <w:r>
            <w:rPr>
              <w:spacing w:val="-2"/>
              <w:sz w:val="18"/>
              <w:szCs w:val="18"/>
              <w:u w:val="none"/>
            </w:rPr>
            <w:t>地址：中国</w:t>
          </w:r>
          <w:r>
            <w:rPr>
              <w:rFonts w:ascii="Times New Roman" w:hAnsi="Times New Roman" w:eastAsia="Times New Roman" w:cs="Times New Roman"/>
              <w:spacing w:val="-2"/>
              <w:sz w:val="18"/>
              <w:szCs w:val="18"/>
              <w:u w:val="none"/>
            </w:rPr>
            <w:t>(</w:t>
          </w:r>
          <w:r>
            <w:rPr>
              <w:spacing w:val="-2"/>
              <w:sz w:val="18"/>
              <w:szCs w:val="18"/>
              <w:u w:val="none"/>
            </w:rPr>
            <w:t>江苏</w:t>
          </w:r>
          <w:r>
            <w:rPr>
              <w:rFonts w:ascii="Times New Roman" w:hAnsi="Times New Roman" w:eastAsia="Times New Roman" w:cs="Times New Roman"/>
              <w:spacing w:val="-2"/>
              <w:sz w:val="18"/>
              <w:szCs w:val="18"/>
              <w:u w:val="none"/>
            </w:rPr>
            <w:t>)</w:t>
          </w:r>
          <w:r>
            <w:rPr>
              <w:spacing w:val="-2"/>
              <w:sz w:val="18"/>
              <w:szCs w:val="18"/>
              <w:u w:val="none"/>
            </w:rPr>
            <w:t>自由贸易试验区苏州片区</w:t>
          </w:r>
        </w:p>
        <w:p w14:paraId="395D2320">
          <w:pPr>
            <w:pStyle w:val="3"/>
            <w:pBdr>
              <w:bottom w:val="none" w:color="auto" w:sz="0" w:space="0"/>
            </w:pBdr>
            <w:tabs>
              <w:tab w:val="clear" w:pos="4153"/>
            </w:tabs>
            <w:ind w:left="5890" w:leftChars="0" w:hanging="5890" w:hangingChars="3347"/>
            <w:jc w:val="right"/>
            <w:rPr>
              <w:rFonts w:hint="eastAsia" w:eastAsia="宋体"/>
              <w:u w:val="none"/>
              <w:vertAlign w:val="baseline"/>
              <w:lang w:val="en-US" w:eastAsia="zh-CN"/>
            </w:rPr>
          </w:pPr>
          <w:r>
            <w:rPr>
              <w:spacing w:val="-2"/>
              <w:sz w:val="18"/>
              <w:szCs w:val="18"/>
              <w:u w:val="none"/>
            </w:rPr>
            <w:t>苏州工业</w:t>
          </w:r>
          <w:r>
            <w:rPr>
              <w:spacing w:val="-5"/>
              <w:sz w:val="18"/>
              <w:szCs w:val="18"/>
              <w:u w:val="none"/>
            </w:rPr>
            <w:t>园区苏虹东路</w:t>
          </w:r>
          <w:r>
            <w:rPr>
              <w:spacing w:val="-13"/>
              <w:sz w:val="18"/>
              <w:szCs w:val="18"/>
              <w:u w:val="none"/>
            </w:rPr>
            <w:t xml:space="preserve"> </w:t>
          </w:r>
          <w:r>
            <w:rPr>
              <w:rFonts w:ascii="Times New Roman" w:hAnsi="Times New Roman" w:eastAsia="Times New Roman" w:cs="Times New Roman"/>
              <w:spacing w:val="-5"/>
              <w:sz w:val="18"/>
              <w:szCs w:val="18"/>
              <w:u w:val="none"/>
            </w:rPr>
            <w:t>155</w:t>
          </w:r>
          <w:r>
            <w:rPr>
              <w:rFonts w:ascii="Times New Roman" w:hAnsi="Times New Roman" w:eastAsia="Times New Roman" w:cs="Times New Roman"/>
              <w:spacing w:val="11"/>
              <w:sz w:val="18"/>
              <w:szCs w:val="18"/>
              <w:u w:val="none"/>
            </w:rPr>
            <w:t xml:space="preserve"> </w:t>
          </w:r>
          <w:r>
            <w:rPr>
              <w:spacing w:val="-5"/>
              <w:sz w:val="18"/>
              <w:szCs w:val="18"/>
              <w:u w:val="none"/>
            </w:rPr>
            <w:t>号</w:t>
          </w:r>
          <w:r>
            <w:rPr>
              <w:spacing w:val="-38"/>
              <w:sz w:val="18"/>
              <w:szCs w:val="18"/>
              <w:u w:val="none"/>
            </w:rPr>
            <w:t xml:space="preserve"> </w:t>
          </w:r>
          <w:r>
            <w:rPr>
              <w:rFonts w:ascii="Times New Roman" w:hAnsi="Times New Roman" w:eastAsia="Times New Roman" w:cs="Times New Roman"/>
              <w:spacing w:val="-5"/>
              <w:sz w:val="18"/>
              <w:szCs w:val="18"/>
              <w:u w:val="none"/>
            </w:rPr>
            <w:t>7</w:t>
          </w:r>
          <w:r>
            <w:rPr>
              <w:rFonts w:ascii="Times New Roman" w:hAnsi="Times New Roman" w:eastAsia="Times New Roman" w:cs="Times New Roman"/>
              <w:spacing w:val="13"/>
              <w:sz w:val="18"/>
              <w:szCs w:val="18"/>
              <w:u w:val="none"/>
            </w:rPr>
            <w:t xml:space="preserve"> </w:t>
          </w:r>
          <w:r>
            <w:rPr>
              <w:spacing w:val="-5"/>
              <w:sz w:val="18"/>
              <w:szCs w:val="18"/>
              <w:u w:val="none"/>
            </w:rPr>
            <w:t>幢</w:t>
          </w:r>
          <w:r>
            <w:rPr>
              <w:spacing w:val="-37"/>
              <w:sz w:val="18"/>
              <w:szCs w:val="18"/>
              <w:u w:val="none"/>
            </w:rPr>
            <w:t xml:space="preserve"> </w:t>
          </w:r>
          <w:r>
            <w:rPr>
              <w:rFonts w:ascii="Times New Roman" w:hAnsi="Times New Roman" w:eastAsia="Times New Roman" w:cs="Times New Roman"/>
              <w:spacing w:val="-5"/>
              <w:sz w:val="18"/>
              <w:szCs w:val="18"/>
              <w:u w:val="none"/>
            </w:rPr>
            <w:t xml:space="preserve">3116 </w:t>
          </w:r>
          <w:r>
            <w:rPr>
              <w:spacing w:val="-5"/>
              <w:sz w:val="18"/>
              <w:szCs w:val="18"/>
              <w:u w:val="none"/>
            </w:rPr>
            <w:t>室</w:t>
          </w:r>
        </w:p>
      </w:tc>
    </w:tr>
  </w:tbl>
  <w:p w14:paraId="3DDBA113">
    <w:pPr>
      <w:pStyle w:val="4"/>
      <w:pBdr>
        <w:bottom w:val="single" w:color="auto" w:sz="4" w:space="1"/>
      </w:pBdr>
      <w:rPr>
        <w:rFonts w:hint="default" w:eastAsia="宋体"/>
        <w:u w:val="single"/>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dit="readOnly" w:enforcement="1" w:cryptProviderType="rsaFull" w:cryptAlgorithmClass="hash" w:cryptAlgorithmType="typeAny" w:cryptAlgorithmSid="4" w:cryptSpinCount="0" w:hash="hQ6uFIYQoiXr8Aa8rvFb4nFYzxM=" w:salt="d1yN2L6SbRWTDR7KGJ8w7g=="/>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E5046"/>
    <w:rsid w:val="4C1E5046"/>
    <w:rsid w:val="6B29294C"/>
    <w:rsid w:val="72756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18"/>
      <w:szCs w:val="18"/>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2025-05-13T08:28:00Z</dcterms:created>
  <dc:creator>红星照我前行</dc:creator>
  <cp:lastModifiedBy>红星照我前行</cp:lastModifiedBy>
  <dcterms:modified xsi:type="dcterms:W3CDTF">2025-05-13T09:13:28Z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F268102FDB904C6AA86A5E3B914031AA_11</vt:lpwstr>
  </property>
  <property fmtid="{D5CDD505-2E9C-101B-9397-08002B2CF9AE}" pid="4" name="KSOTemplateDocerSaveRecord">
    <vt:lpwstr>eyJoZGlkIjoiZTc3OWE3ODUzMWFjMmQxYTQ3MTI0OGUxNzI5MGFjZmQiLCJ1c2VySWQiOiIxMTU1MDU4MzAzIn0=</vt:lpwstr>
  </property>
</Properties>
</file>